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14"/>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0"/>
        <w:gridCol w:w="1890"/>
        <w:gridCol w:w="3445"/>
        <w:gridCol w:w="3780"/>
        <w:gridCol w:w="3755"/>
      </w:tblGrid>
      <w:tr w:rsidR="00572F19" w:rsidRPr="00B549A5" w14:paraId="5CB5817C" w14:textId="77777777" w:rsidTr="005A7FEF">
        <w:trPr>
          <w:trHeight w:val="2432"/>
        </w:trPr>
        <w:tc>
          <w:tcPr>
            <w:tcW w:w="14490"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3FB3C637" w14:textId="77777777" w:rsidR="00E26075" w:rsidRDefault="00E26075" w:rsidP="00572F19">
            <w:pPr>
              <w:rPr>
                <w:rFonts w:ascii="Times New Roman" w:hAnsi="Times New Roman"/>
                <w:color w:val="000000" w:themeColor="text1"/>
                <w:sz w:val="20"/>
                <w:szCs w:val="20"/>
              </w:rPr>
            </w:pPr>
            <w:bookmarkStart w:id="0" w:name="_GoBack"/>
            <w:bookmarkEnd w:id="0"/>
          </w:p>
          <w:p w14:paraId="177FFCF9" w14:textId="63F098FD" w:rsidR="00E26075" w:rsidRPr="00137E4C" w:rsidRDefault="00E26075" w:rsidP="00E26075">
            <w:pPr>
              <w:jc w:val="center"/>
              <w:rPr>
                <w:rFonts w:ascii="Times New Roman" w:hAnsi="Times New Roman"/>
                <w:color w:val="000000" w:themeColor="text1"/>
                <w:sz w:val="20"/>
                <w:szCs w:val="20"/>
              </w:rPr>
            </w:pPr>
            <w:r w:rsidRPr="00137E4C">
              <w:rPr>
                <w:rFonts w:ascii="Times New Roman" w:hAnsi="Times New Roman"/>
                <w:b/>
                <w:bCs/>
                <w:color w:val="000000" w:themeColor="text1"/>
                <w:sz w:val="20"/>
                <w:szCs w:val="20"/>
              </w:rPr>
              <w:t xml:space="preserve">Introduction to </w:t>
            </w:r>
            <w:r>
              <w:rPr>
                <w:rFonts w:ascii="Times New Roman" w:hAnsi="Times New Roman"/>
                <w:b/>
                <w:bCs/>
                <w:color w:val="000000" w:themeColor="text1"/>
                <w:sz w:val="20"/>
                <w:szCs w:val="20"/>
              </w:rPr>
              <w:t>T</w:t>
            </w:r>
            <w:r w:rsidRPr="00137E4C">
              <w:rPr>
                <w:rFonts w:ascii="Times New Roman" w:hAnsi="Times New Roman"/>
                <w:b/>
                <w:bCs/>
                <w:color w:val="000000" w:themeColor="text1"/>
                <w:sz w:val="20"/>
                <w:szCs w:val="20"/>
              </w:rPr>
              <w:t xml:space="preserve">his </w:t>
            </w:r>
            <w:r>
              <w:rPr>
                <w:rFonts w:ascii="Times New Roman" w:hAnsi="Times New Roman"/>
                <w:b/>
                <w:bCs/>
                <w:color w:val="000000" w:themeColor="text1"/>
                <w:sz w:val="20"/>
                <w:szCs w:val="20"/>
              </w:rPr>
              <w:t>Update</w:t>
            </w:r>
          </w:p>
          <w:p w14:paraId="241891E2" w14:textId="77777777" w:rsidR="00E26075" w:rsidRDefault="00E26075" w:rsidP="00E26075">
            <w:pPr>
              <w:rPr>
                <w:rFonts w:ascii="Times New Roman" w:hAnsi="Times New Roman"/>
                <w:color w:val="000000" w:themeColor="text1"/>
                <w:sz w:val="20"/>
                <w:szCs w:val="20"/>
              </w:rPr>
            </w:pPr>
          </w:p>
          <w:p w14:paraId="1084CE95" w14:textId="0A6B0D1A" w:rsidR="00201D92" w:rsidRPr="00137E4C" w:rsidRDefault="00572F19" w:rsidP="00572F19">
            <w:pPr>
              <w:rPr>
                <w:rFonts w:ascii="Times New Roman" w:hAnsi="Times New Roman"/>
                <w:color w:val="000000" w:themeColor="text1"/>
                <w:sz w:val="20"/>
                <w:szCs w:val="20"/>
              </w:rPr>
            </w:pPr>
            <w:r w:rsidRPr="00137E4C">
              <w:rPr>
                <w:rFonts w:ascii="Times New Roman" w:hAnsi="Times New Roman"/>
                <w:color w:val="000000" w:themeColor="text1"/>
                <w:sz w:val="20"/>
                <w:szCs w:val="20"/>
              </w:rPr>
              <w:t>Th</w:t>
            </w:r>
            <w:r w:rsidR="00AB0668">
              <w:rPr>
                <w:rFonts w:ascii="Times New Roman" w:hAnsi="Times New Roman"/>
                <w:color w:val="000000" w:themeColor="text1"/>
                <w:sz w:val="20"/>
                <w:szCs w:val="20"/>
              </w:rPr>
              <w:t>is</w:t>
            </w:r>
            <w:r w:rsidRPr="00137E4C">
              <w:rPr>
                <w:rFonts w:ascii="Times New Roman" w:hAnsi="Times New Roman"/>
                <w:color w:val="000000" w:themeColor="text1"/>
                <w:sz w:val="20"/>
                <w:szCs w:val="20"/>
              </w:rPr>
              <w:t xml:space="preserve"> update was prompted by </w:t>
            </w:r>
            <w:r w:rsidR="00512189" w:rsidRPr="00137E4C">
              <w:rPr>
                <w:rFonts w:ascii="Times New Roman" w:hAnsi="Times New Roman"/>
                <w:color w:val="000000" w:themeColor="text1"/>
                <w:sz w:val="20"/>
                <w:szCs w:val="20"/>
              </w:rPr>
              <w:t xml:space="preserve">new federal regulations released in May that add unique demands to schools’ compliance obligations under </w:t>
            </w:r>
            <w:r w:rsidRPr="00137E4C">
              <w:rPr>
                <w:rFonts w:ascii="Times New Roman" w:hAnsi="Times New Roman"/>
                <w:color w:val="000000" w:themeColor="text1"/>
                <w:sz w:val="20"/>
                <w:szCs w:val="20"/>
              </w:rPr>
              <w:t>Title IX of the Education Amendments Act of 1972</w:t>
            </w:r>
            <w:r w:rsidR="00CC14B4" w:rsidRPr="00137E4C">
              <w:rPr>
                <w:rFonts w:ascii="Times New Roman" w:hAnsi="Times New Roman"/>
                <w:color w:val="000000" w:themeColor="text1"/>
                <w:sz w:val="20"/>
                <w:szCs w:val="20"/>
              </w:rPr>
              <w:t xml:space="preserve">, which prohibits sex discrimination </w:t>
            </w:r>
            <w:r w:rsidR="00C826EF" w:rsidRPr="00137E4C">
              <w:rPr>
                <w:rFonts w:ascii="Times New Roman" w:hAnsi="Times New Roman"/>
                <w:color w:val="000000" w:themeColor="text1"/>
                <w:sz w:val="20"/>
                <w:szCs w:val="20"/>
              </w:rPr>
              <w:t xml:space="preserve">and </w:t>
            </w:r>
            <w:r w:rsidR="00CC14B4" w:rsidRPr="00137E4C">
              <w:rPr>
                <w:rFonts w:ascii="Times New Roman" w:hAnsi="Times New Roman"/>
                <w:color w:val="000000" w:themeColor="text1"/>
                <w:sz w:val="20"/>
                <w:szCs w:val="20"/>
              </w:rPr>
              <w:t>sexual harassment</w:t>
            </w:r>
            <w:r w:rsidR="00C826EF" w:rsidRPr="00137E4C">
              <w:rPr>
                <w:rFonts w:ascii="Times New Roman" w:hAnsi="Times New Roman"/>
                <w:color w:val="000000" w:themeColor="text1"/>
                <w:sz w:val="20"/>
                <w:szCs w:val="20"/>
              </w:rPr>
              <w:t xml:space="preserve"> in the board’s education program and activities</w:t>
            </w:r>
            <w:r w:rsidR="00CC14B4" w:rsidRPr="00137E4C">
              <w:rPr>
                <w:rFonts w:ascii="Times New Roman" w:hAnsi="Times New Roman"/>
                <w:color w:val="000000" w:themeColor="text1"/>
                <w:sz w:val="20"/>
                <w:szCs w:val="20"/>
              </w:rPr>
              <w:t>.  The new requirements</w:t>
            </w:r>
            <w:r w:rsidR="00512189" w:rsidRPr="00137E4C">
              <w:rPr>
                <w:rFonts w:ascii="Times New Roman" w:hAnsi="Times New Roman"/>
                <w:color w:val="000000" w:themeColor="text1"/>
                <w:sz w:val="20"/>
                <w:szCs w:val="20"/>
              </w:rPr>
              <w:t xml:space="preserve"> do not apply to other </w:t>
            </w:r>
            <w:r w:rsidRPr="00137E4C">
              <w:rPr>
                <w:rFonts w:ascii="Times New Roman" w:hAnsi="Times New Roman"/>
                <w:color w:val="000000" w:themeColor="text1"/>
                <w:sz w:val="20"/>
                <w:szCs w:val="20"/>
              </w:rPr>
              <w:t>fe</w:t>
            </w:r>
            <w:r w:rsidR="00512189" w:rsidRPr="00137E4C">
              <w:rPr>
                <w:rFonts w:ascii="Times New Roman" w:hAnsi="Times New Roman"/>
                <w:color w:val="000000" w:themeColor="text1"/>
                <w:sz w:val="20"/>
                <w:szCs w:val="20"/>
              </w:rPr>
              <w:t xml:space="preserve">deral laws that prohibit discrimination </w:t>
            </w:r>
            <w:r w:rsidR="00CC14B4" w:rsidRPr="00137E4C">
              <w:rPr>
                <w:rFonts w:ascii="Times New Roman" w:hAnsi="Times New Roman"/>
                <w:color w:val="000000" w:themeColor="text1"/>
                <w:sz w:val="20"/>
                <w:szCs w:val="20"/>
              </w:rPr>
              <w:t xml:space="preserve">on the basis of </w:t>
            </w:r>
            <w:r w:rsidR="00C826EF" w:rsidRPr="00137E4C">
              <w:rPr>
                <w:rFonts w:ascii="Times New Roman" w:hAnsi="Times New Roman"/>
                <w:color w:val="000000" w:themeColor="text1"/>
                <w:sz w:val="20"/>
                <w:szCs w:val="20"/>
              </w:rPr>
              <w:t xml:space="preserve">other protected classes, such as </w:t>
            </w:r>
            <w:r w:rsidR="00CC14B4" w:rsidRPr="00137E4C">
              <w:rPr>
                <w:rFonts w:ascii="Times New Roman" w:hAnsi="Times New Roman"/>
                <w:color w:val="000000" w:themeColor="text1"/>
                <w:sz w:val="20"/>
                <w:szCs w:val="20"/>
              </w:rPr>
              <w:t xml:space="preserve">race, disability, </w:t>
            </w:r>
            <w:r w:rsidR="00C826EF" w:rsidRPr="00137E4C">
              <w:rPr>
                <w:rFonts w:ascii="Times New Roman" w:hAnsi="Times New Roman"/>
                <w:color w:val="000000" w:themeColor="text1"/>
                <w:sz w:val="20"/>
                <w:szCs w:val="20"/>
              </w:rPr>
              <w:t xml:space="preserve">or </w:t>
            </w:r>
            <w:r w:rsidR="00CC14B4" w:rsidRPr="00137E4C">
              <w:rPr>
                <w:rFonts w:ascii="Times New Roman" w:hAnsi="Times New Roman"/>
                <w:color w:val="000000" w:themeColor="text1"/>
                <w:sz w:val="20"/>
                <w:szCs w:val="20"/>
              </w:rPr>
              <w:t>religion</w:t>
            </w:r>
            <w:r w:rsidR="00C826EF" w:rsidRPr="00137E4C">
              <w:rPr>
                <w:rFonts w:ascii="Times New Roman" w:hAnsi="Times New Roman"/>
                <w:color w:val="000000" w:themeColor="text1"/>
                <w:sz w:val="20"/>
                <w:szCs w:val="20"/>
              </w:rPr>
              <w:t>.</w:t>
            </w:r>
            <w:r w:rsidR="00CC14B4" w:rsidRPr="00137E4C">
              <w:rPr>
                <w:rFonts w:ascii="Times New Roman" w:hAnsi="Times New Roman"/>
                <w:color w:val="000000" w:themeColor="text1"/>
                <w:sz w:val="20"/>
                <w:szCs w:val="20"/>
              </w:rPr>
              <w:t xml:space="preserve"> </w:t>
            </w:r>
            <w:r w:rsidR="006B4618">
              <w:rPr>
                <w:rFonts w:ascii="Times New Roman" w:hAnsi="Times New Roman"/>
                <w:color w:val="000000" w:themeColor="text1"/>
                <w:sz w:val="20"/>
                <w:szCs w:val="20"/>
              </w:rPr>
              <w:t xml:space="preserve">Moreover, the definition of “sexual harassment” in the new regulations differs from the definition used in the federal law that prohibits sex discrimination in employment.  </w:t>
            </w:r>
            <w:r w:rsidR="00512189" w:rsidRPr="00137E4C">
              <w:rPr>
                <w:rFonts w:ascii="Times New Roman" w:hAnsi="Times New Roman"/>
                <w:color w:val="000000" w:themeColor="text1"/>
                <w:sz w:val="20"/>
                <w:szCs w:val="20"/>
              </w:rPr>
              <w:t>To accommodate the</w:t>
            </w:r>
            <w:r w:rsidR="006B4618">
              <w:rPr>
                <w:rFonts w:ascii="Times New Roman" w:hAnsi="Times New Roman"/>
                <w:color w:val="000000" w:themeColor="text1"/>
                <w:sz w:val="20"/>
                <w:szCs w:val="20"/>
              </w:rPr>
              <w:t>se</w:t>
            </w:r>
            <w:r w:rsidR="00512189" w:rsidRPr="00137E4C">
              <w:rPr>
                <w:rFonts w:ascii="Times New Roman" w:hAnsi="Times New Roman"/>
                <w:color w:val="000000" w:themeColor="text1"/>
                <w:sz w:val="20"/>
                <w:szCs w:val="20"/>
              </w:rPr>
              <w:t xml:space="preserve"> changes</w:t>
            </w:r>
            <w:r w:rsidR="006B4618">
              <w:rPr>
                <w:rFonts w:ascii="Times New Roman" w:hAnsi="Times New Roman"/>
                <w:color w:val="000000" w:themeColor="text1"/>
                <w:sz w:val="20"/>
                <w:szCs w:val="20"/>
              </w:rPr>
              <w:t xml:space="preserve"> under Title IX</w:t>
            </w:r>
            <w:r w:rsidR="00512189" w:rsidRPr="00137E4C">
              <w:rPr>
                <w:rFonts w:ascii="Times New Roman" w:hAnsi="Times New Roman"/>
                <w:color w:val="000000" w:themeColor="text1"/>
                <w:sz w:val="20"/>
                <w:szCs w:val="20"/>
              </w:rPr>
              <w:t>, we are removing two policies from the PLS manual and adding six new ones</w:t>
            </w:r>
            <w:r w:rsidR="002224CD">
              <w:rPr>
                <w:rFonts w:ascii="Times New Roman" w:hAnsi="Times New Roman"/>
                <w:color w:val="000000" w:themeColor="text1"/>
                <w:sz w:val="20"/>
                <w:szCs w:val="20"/>
              </w:rPr>
              <w:t xml:space="preserve"> and providing a complimentary administrative regulation</w:t>
            </w:r>
            <w:r w:rsidR="00512189" w:rsidRPr="00137E4C">
              <w:rPr>
                <w:rFonts w:ascii="Times New Roman" w:hAnsi="Times New Roman"/>
                <w:color w:val="000000" w:themeColor="text1"/>
                <w:sz w:val="20"/>
                <w:szCs w:val="20"/>
              </w:rPr>
              <w:t xml:space="preserve">. </w:t>
            </w:r>
            <w:r w:rsidR="00CC14B4" w:rsidRPr="00137E4C">
              <w:rPr>
                <w:rFonts w:ascii="Times New Roman" w:hAnsi="Times New Roman"/>
                <w:color w:val="000000" w:themeColor="text1"/>
                <w:sz w:val="20"/>
                <w:szCs w:val="20"/>
              </w:rPr>
              <w:t xml:space="preserve"> We have also updated several related policies. </w:t>
            </w:r>
            <w:r w:rsidR="00512189" w:rsidRPr="00137E4C">
              <w:rPr>
                <w:rFonts w:ascii="Times New Roman" w:hAnsi="Times New Roman"/>
                <w:color w:val="000000" w:themeColor="text1"/>
                <w:sz w:val="20"/>
                <w:szCs w:val="20"/>
              </w:rPr>
              <w:t>Three of the new policies implement Title IX obligations</w:t>
            </w:r>
            <w:r w:rsidR="00AB0668">
              <w:rPr>
                <w:rFonts w:ascii="Times New Roman" w:hAnsi="Times New Roman"/>
                <w:color w:val="000000" w:themeColor="text1"/>
                <w:sz w:val="20"/>
                <w:szCs w:val="20"/>
              </w:rPr>
              <w:t>; t</w:t>
            </w:r>
            <w:r w:rsidR="00CC14B4" w:rsidRPr="00137E4C">
              <w:rPr>
                <w:rFonts w:ascii="Times New Roman" w:hAnsi="Times New Roman"/>
                <w:color w:val="000000" w:themeColor="text1"/>
                <w:sz w:val="20"/>
                <w:szCs w:val="20"/>
              </w:rPr>
              <w:t xml:space="preserve">wo others </w:t>
            </w:r>
            <w:r w:rsidR="00512189" w:rsidRPr="00137E4C">
              <w:rPr>
                <w:rFonts w:ascii="Times New Roman" w:hAnsi="Times New Roman"/>
                <w:color w:val="000000" w:themeColor="text1"/>
                <w:sz w:val="20"/>
                <w:szCs w:val="20"/>
              </w:rPr>
              <w:t xml:space="preserve">address the board’s obligations under other federal </w:t>
            </w:r>
            <w:r w:rsidR="00CC14B4" w:rsidRPr="00137E4C">
              <w:rPr>
                <w:rFonts w:ascii="Times New Roman" w:hAnsi="Times New Roman"/>
                <w:color w:val="000000" w:themeColor="text1"/>
                <w:sz w:val="20"/>
                <w:szCs w:val="20"/>
              </w:rPr>
              <w:t xml:space="preserve">nondiscrimination </w:t>
            </w:r>
            <w:r w:rsidR="00512189" w:rsidRPr="00137E4C">
              <w:rPr>
                <w:rFonts w:ascii="Times New Roman" w:hAnsi="Times New Roman"/>
                <w:color w:val="000000" w:themeColor="text1"/>
                <w:sz w:val="20"/>
                <w:szCs w:val="20"/>
              </w:rPr>
              <w:t>laws</w:t>
            </w:r>
            <w:r w:rsidR="00AB0668">
              <w:rPr>
                <w:rFonts w:ascii="Times New Roman" w:hAnsi="Times New Roman"/>
                <w:color w:val="000000" w:themeColor="text1"/>
                <w:sz w:val="20"/>
                <w:szCs w:val="20"/>
              </w:rPr>
              <w:t>;</w:t>
            </w:r>
            <w:r w:rsidR="00CC14B4" w:rsidRPr="00137E4C">
              <w:rPr>
                <w:rFonts w:ascii="Times New Roman" w:hAnsi="Times New Roman"/>
                <w:color w:val="000000" w:themeColor="text1"/>
                <w:sz w:val="20"/>
                <w:szCs w:val="20"/>
              </w:rPr>
              <w:t xml:space="preserve"> and one policy addresses the board’s obligation to prohibit bullying and harassment under state law.  </w:t>
            </w:r>
            <w:r w:rsidR="002224CD">
              <w:rPr>
                <w:rFonts w:ascii="Times New Roman" w:hAnsi="Times New Roman"/>
                <w:color w:val="000000" w:themeColor="text1"/>
                <w:sz w:val="20"/>
                <w:szCs w:val="20"/>
              </w:rPr>
              <w:t>The administrative regulation provides definitions for certain forms of prohibited sexual harassment.</w:t>
            </w:r>
          </w:p>
          <w:p w14:paraId="621ABFC5" w14:textId="77777777" w:rsidR="00201D92" w:rsidRPr="00137E4C" w:rsidRDefault="00201D92" w:rsidP="00572F19">
            <w:pPr>
              <w:rPr>
                <w:rFonts w:ascii="Times New Roman" w:hAnsi="Times New Roman"/>
                <w:color w:val="000000" w:themeColor="text1"/>
                <w:sz w:val="20"/>
                <w:szCs w:val="20"/>
              </w:rPr>
            </w:pPr>
          </w:p>
          <w:p w14:paraId="55C68550" w14:textId="75A214B5" w:rsidR="00295061" w:rsidRPr="00B95C00" w:rsidRDefault="00CC14B4" w:rsidP="00295061">
            <w:pPr>
              <w:jc w:val="both"/>
              <w:rPr>
                <w:rFonts w:ascii="Times New Roman" w:hAnsi="Times New Roman"/>
                <w:b/>
                <w:bCs/>
                <w:color w:val="000000"/>
              </w:rPr>
            </w:pPr>
            <w:r w:rsidRPr="00137E4C">
              <w:rPr>
                <w:rFonts w:ascii="Times New Roman" w:hAnsi="Times New Roman"/>
                <w:color w:val="000000" w:themeColor="text1"/>
                <w:sz w:val="20"/>
                <w:szCs w:val="20"/>
              </w:rPr>
              <w:t xml:space="preserve">Previously, </w:t>
            </w:r>
            <w:r w:rsidR="00201D92" w:rsidRPr="00137E4C">
              <w:rPr>
                <w:rFonts w:ascii="Times New Roman" w:hAnsi="Times New Roman"/>
                <w:color w:val="000000" w:themeColor="text1"/>
                <w:sz w:val="20"/>
                <w:szCs w:val="20"/>
              </w:rPr>
              <w:t xml:space="preserve">all forms of discrimination, harassment, and bullying under state and federal laws were compiled into </w:t>
            </w:r>
            <w:r w:rsidR="00AB0668">
              <w:rPr>
                <w:rFonts w:ascii="Times New Roman" w:hAnsi="Times New Roman"/>
                <w:color w:val="000000" w:themeColor="text1"/>
                <w:sz w:val="20"/>
                <w:szCs w:val="20"/>
              </w:rPr>
              <w:t>a single policy and a companion complaint process.</w:t>
            </w:r>
            <w:r w:rsidR="00201D92" w:rsidRPr="00137E4C">
              <w:rPr>
                <w:rFonts w:ascii="Times New Roman" w:hAnsi="Times New Roman"/>
                <w:color w:val="000000" w:themeColor="text1"/>
                <w:sz w:val="20"/>
                <w:szCs w:val="20"/>
              </w:rPr>
              <w:t xml:space="preserve">  T</w:t>
            </w:r>
            <w:r w:rsidR="00AB0668">
              <w:rPr>
                <w:rFonts w:ascii="Times New Roman" w:hAnsi="Times New Roman"/>
                <w:color w:val="000000" w:themeColor="text1"/>
                <w:sz w:val="20"/>
                <w:szCs w:val="20"/>
              </w:rPr>
              <w:t xml:space="preserve">ogether, they </w:t>
            </w:r>
            <w:r w:rsidR="00201D92" w:rsidRPr="00137E4C">
              <w:rPr>
                <w:rFonts w:ascii="Times New Roman" w:hAnsi="Times New Roman"/>
                <w:color w:val="000000" w:themeColor="text1"/>
                <w:sz w:val="20"/>
                <w:szCs w:val="20"/>
              </w:rPr>
              <w:t>provided a uniform process for reporting, investigating, and decision-making</w:t>
            </w:r>
            <w:r w:rsidR="00295061">
              <w:rPr>
                <w:rFonts w:ascii="Times New Roman" w:hAnsi="Times New Roman"/>
                <w:color w:val="000000" w:themeColor="text1"/>
                <w:sz w:val="20"/>
                <w:szCs w:val="20"/>
              </w:rPr>
              <w:t>.</w:t>
            </w:r>
            <w:r w:rsidR="00201D92" w:rsidRPr="00137E4C">
              <w:rPr>
                <w:rFonts w:ascii="Times New Roman" w:hAnsi="Times New Roman"/>
                <w:color w:val="000000" w:themeColor="text1"/>
                <w:sz w:val="20"/>
                <w:szCs w:val="20"/>
              </w:rPr>
              <w:t xml:space="preserve">  </w:t>
            </w:r>
            <w:r w:rsidR="00AA2F5F">
              <w:rPr>
                <w:rFonts w:ascii="Times New Roman" w:hAnsi="Times New Roman"/>
                <w:color w:val="000000" w:themeColor="text1"/>
                <w:sz w:val="20"/>
                <w:szCs w:val="20"/>
              </w:rPr>
              <w:t xml:space="preserve">That approach is not </w:t>
            </w:r>
            <w:r w:rsidR="00175368">
              <w:rPr>
                <w:rFonts w:ascii="Times New Roman" w:hAnsi="Times New Roman"/>
                <w:color w:val="000000" w:themeColor="text1"/>
                <w:sz w:val="20"/>
                <w:szCs w:val="20"/>
              </w:rPr>
              <w:t xml:space="preserve">feasible </w:t>
            </w:r>
            <w:r w:rsidR="00AA2F5F">
              <w:rPr>
                <w:rFonts w:ascii="Times New Roman" w:hAnsi="Times New Roman"/>
                <w:color w:val="000000" w:themeColor="text1"/>
                <w:sz w:val="20"/>
                <w:szCs w:val="20"/>
              </w:rPr>
              <w:t>under the new regulations</w:t>
            </w:r>
            <w:r w:rsidR="00175368">
              <w:rPr>
                <w:rFonts w:ascii="Times New Roman" w:hAnsi="Times New Roman"/>
                <w:color w:val="000000" w:themeColor="text1"/>
                <w:sz w:val="20"/>
                <w:szCs w:val="20"/>
              </w:rPr>
              <w:t>, which reserve the Title IX grievance process for addressing formal complaints of sexual harassment under Title IX</w:t>
            </w:r>
            <w:r w:rsidR="00AD751A">
              <w:rPr>
                <w:rFonts w:ascii="Times New Roman" w:hAnsi="Times New Roman"/>
                <w:color w:val="000000" w:themeColor="text1"/>
                <w:sz w:val="20"/>
                <w:szCs w:val="20"/>
              </w:rPr>
              <w:t>.</w:t>
            </w:r>
            <w:r w:rsidR="00175368">
              <w:rPr>
                <w:rFonts w:ascii="Times New Roman" w:hAnsi="Times New Roman"/>
                <w:color w:val="000000" w:themeColor="text1"/>
                <w:sz w:val="20"/>
                <w:szCs w:val="20"/>
              </w:rPr>
              <w:t xml:space="preserve"> </w:t>
            </w:r>
            <w:r w:rsidR="00AA2F5F">
              <w:rPr>
                <w:rFonts w:ascii="Times New Roman" w:hAnsi="Times New Roman"/>
                <w:color w:val="000000" w:themeColor="text1"/>
                <w:sz w:val="20"/>
                <w:szCs w:val="20"/>
              </w:rPr>
              <w:t xml:space="preserve"> </w:t>
            </w:r>
            <w:r w:rsidR="00295061">
              <w:rPr>
                <w:rFonts w:ascii="Times New Roman" w:hAnsi="Times New Roman"/>
                <w:color w:val="000000" w:themeColor="text1"/>
                <w:sz w:val="20"/>
                <w:szCs w:val="20"/>
              </w:rPr>
              <w:t xml:space="preserve">Accordingly, </w:t>
            </w:r>
            <w:r w:rsidR="00201D92" w:rsidRPr="00137E4C">
              <w:rPr>
                <w:rFonts w:ascii="Times New Roman" w:hAnsi="Times New Roman"/>
                <w:color w:val="000000" w:themeColor="text1"/>
                <w:sz w:val="20"/>
                <w:szCs w:val="20"/>
              </w:rPr>
              <w:t xml:space="preserve">new policies </w:t>
            </w:r>
            <w:r w:rsidR="00AB0668">
              <w:rPr>
                <w:rFonts w:ascii="Times New Roman" w:hAnsi="Times New Roman"/>
                <w:color w:val="000000" w:themeColor="text1"/>
                <w:sz w:val="20"/>
                <w:szCs w:val="20"/>
              </w:rPr>
              <w:t>in this update</w:t>
            </w:r>
            <w:r w:rsidR="00DF2A8D">
              <w:rPr>
                <w:rFonts w:ascii="Times New Roman" w:hAnsi="Times New Roman"/>
                <w:color w:val="000000" w:themeColor="text1"/>
                <w:sz w:val="20"/>
                <w:szCs w:val="20"/>
              </w:rPr>
              <w:t xml:space="preserve"> are individualized to the relevant laws to </w:t>
            </w:r>
            <w:r w:rsidR="00201D92" w:rsidRPr="00137E4C">
              <w:rPr>
                <w:rFonts w:ascii="Times New Roman" w:hAnsi="Times New Roman"/>
                <w:color w:val="000000" w:themeColor="text1"/>
                <w:sz w:val="20"/>
                <w:szCs w:val="20"/>
              </w:rPr>
              <w:t>provide for a more tailored and streamlined approach to</w:t>
            </w:r>
            <w:r w:rsidR="00AB0668">
              <w:rPr>
                <w:rFonts w:ascii="Times New Roman" w:hAnsi="Times New Roman"/>
                <w:color w:val="000000" w:themeColor="text1"/>
                <w:sz w:val="20"/>
                <w:szCs w:val="20"/>
              </w:rPr>
              <w:t xml:space="preserve"> addressing </w:t>
            </w:r>
            <w:r w:rsidR="00201D92" w:rsidRPr="00137E4C">
              <w:rPr>
                <w:rFonts w:ascii="Times New Roman" w:hAnsi="Times New Roman"/>
                <w:color w:val="000000" w:themeColor="text1"/>
                <w:sz w:val="20"/>
                <w:szCs w:val="20"/>
              </w:rPr>
              <w:t xml:space="preserve">conduct that is not sexual harassment under Title IX, while providing processes sufficient to comply with the newly-heightened Title IX </w:t>
            </w:r>
            <w:r w:rsidR="00AB0668">
              <w:rPr>
                <w:rFonts w:ascii="Times New Roman" w:hAnsi="Times New Roman"/>
                <w:color w:val="000000" w:themeColor="text1"/>
                <w:sz w:val="20"/>
                <w:szCs w:val="20"/>
              </w:rPr>
              <w:t xml:space="preserve">procedural </w:t>
            </w:r>
            <w:r w:rsidR="00201D92" w:rsidRPr="00137E4C">
              <w:rPr>
                <w:rFonts w:ascii="Times New Roman" w:hAnsi="Times New Roman"/>
                <w:color w:val="000000" w:themeColor="text1"/>
                <w:sz w:val="20"/>
                <w:szCs w:val="20"/>
              </w:rPr>
              <w:t>requirements for incidents of sexual harassment</w:t>
            </w:r>
            <w:r w:rsidR="006B4618">
              <w:rPr>
                <w:rFonts w:ascii="Times New Roman" w:hAnsi="Times New Roman"/>
                <w:color w:val="000000" w:themeColor="text1"/>
                <w:sz w:val="20"/>
                <w:szCs w:val="20"/>
              </w:rPr>
              <w:t xml:space="preserve"> that fall under that law</w:t>
            </w:r>
            <w:r w:rsidR="00201D92" w:rsidRPr="00137E4C">
              <w:rPr>
                <w:rFonts w:ascii="Times New Roman" w:hAnsi="Times New Roman"/>
                <w:color w:val="000000" w:themeColor="text1"/>
                <w:sz w:val="20"/>
                <w:szCs w:val="20"/>
              </w:rPr>
              <w:t xml:space="preserve">.  </w:t>
            </w:r>
            <w:r w:rsidR="00295061">
              <w:rPr>
                <w:rFonts w:ascii="Times New Roman" w:hAnsi="Times New Roman"/>
                <w:b/>
                <w:bCs/>
                <w:color w:val="000000" w:themeColor="text1"/>
                <w:sz w:val="20"/>
                <w:szCs w:val="20"/>
              </w:rPr>
              <w:t>These policies should be reviewed with the assistance of the board attorney and should be changed only with input from the board attorney.</w:t>
            </w:r>
          </w:p>
          <w:p w14:paraId="01528CFD" w14:textId="6C895F47" w:rsidR="002224CD" w:rsidRPr="002224CD" w:rsidRDefault="002224CD" w:rsidP="00572F19">
            <w:pPr>
              <w:rPr>
                <w:rFonts w:ascii="Times New Roman" w:hAnsi="Times New Roman"/>
                <w:color w:val="000000" w:themeColor="text1"/>
                <w:sz w:val="20"/>
                <w:szCs w:val="20"/>
              </w:rPr>
            </w:pPr>
          </w:p>
          <w:p w14:paraId="54DAFAB6" w14:textId="0CC93703" w:rsidR="00137E4C" w:rsidRDefault="00137E4C" w:rsidP="00572F19">
            <w:pPr>
              <w:rPr>
                <w:rFonts w:ascii="Times New Roman" w:hAnsi="Times New Roman"/>
                <w:color w:val="000000" w:themeColor="text1"/>
                <w:sz w:val="20"/>
                <w:szCs w:val="20"/>
              </w:rPr>
            </w:pPr>
            <w:r w:rsidRPr="00137E4C">
              <w:rPr>
                <w:rFonts w:ascii="Times New Roman" w:hAnsi="Times New Roman"/>
                <w:color w:val="000000" w:themeColor="text1"/>
                <w:sz w:val="20"/>
                <w:szCs w:val="20"/>
              </w:rPr>
              <w:t xml:space="preserve">The new Title IX regulations </w:t>
            </w:r>
            <w:r w:rsidR="00295061">
              <w:rPr>
                <w:rFonts w:ascii="Times New Roman" w:hAnsi="Times New Roman"/>
                <w:color w:val="000000" w:themeColor="text1"/>
                <w:sz w:val="20"/>
                <w:szCs w:val="20"/>
              </w:rPr>
              <w:t xml:space="preserve">are effective on </w:t>
            </w:r>
            <w:r w:rsidRPr="00137E4C">
              <w:rPr>
                <w:rFonts w:ascii="Times New Roman" w:hAnsi="Times New Roman"/>
                <w:color w:val="000000" w:themeColor="text1"/>
                <w:sz w:val="20"/>
                <w:szCs w:val="20"/>
              </w:rPr>
              <w:t>August 14, 2020.</w:t>
            </w:r>
          </w:p>
          <w:p w14:paraId="0056AF19" w14:textId="77777777" w:rsidR="00572F19" w:rsidRDefault="00572F19" w:rsidP="00572F19">
            <w:pPr>
              <w:rPr>
                <w:rFonts w:ascii="Times New Roman" w:hAnsi="Times New Roman"/>
                <w:color w:val="000000" w:themeColor="text1"/>
                <w:sz w:val="20"/>
                <w:szCs w:val="20"/>
              </w:rPr>
            </w:pPr>
          </w:p>
          <w:p w14:paraId="5966ED96" w14:textId="65D6E687" w:rsidR="00572F19" w:rsidRPr="00B549A5" w:rsidRDefault="00572F19" w:rsidP="00572F19">
            <w:pPr>
              <w:rPr>
                <w:rFonts w:ascii="Times New Roman" w:hAnsi="Times New Roman"/>
                <w:color w:val="000000" w:themeColor="text1"/>
                <w:sz w:val="20"/>
                <w:szCs w:val="20"/>
              </w:rPr>
            </w:pPr>
          </w:p>
        </w:tc>
      </w:tr>
      <w:tr w:rsidR="005A7FEF" w:rsidRPr="00B549A5" w14:paraId="13E36C51" w14:textId="77777777" w:rsidTr="005A7FEF">
        <w:tc>
          <w:tcPr>
            <w:tcW w:w="14490" w:type="dxa"/>
            <w:gridSpan w:val="5"/>
            <w:tcBorders>
              <w:top w:val="double" w:sz="4" w:space="0" w:color="auto"/>
            </w:tcBorders>
            <w:shd w:val="clear" w:color="auto" w:fill="C4BC96" w:themeFill="background2" w:themeFillShade="BF"/>
          </w:tcPr>
          <w:p w14:paraId="001A816A" w14:textId="77777777" w:rsidR="005A7FEF" w:rsidRPr="00B549A5" w:rsidRDefault="005A7FEF" w:rsidP="005A7FEF">
            <w:pPr>
              <w:rPr>
                <w:rFonts w:ascii="Times New Roman" w:hAnsi="Times New Roman"/>
                <w:color w:val="000000" w:themeColor="text1"/>
                <w:sz w:val="20"/>
                <w:szCs w:val="20"/>
              </w:rPr>
            </w:pPr>
          </w:p>
        </w:tc>
      </w:tr>
      <w:tr w:rsidR="005A7FEF" w:rsidRPr="00B549A5" w14:paraId="2961AFE0" w14:textId="77777777" w:rsidTr="00572F19">
        <w:tc>
          <w:tcPr>
            <w:tcW w:w="14490" w:type="dxa"/>
            <w:gridSpan w:val="5"/>
            <w:tcBorders>
              <w:bottom w:val="single" w:sz="4" w:space="0" w:color="auto"/>
            </w:tcBorders>
          </w:tcPr>
          <w:p w14:paraId="17501D03" w14:textId="77777777" w:rsidR="005A7FEF" w:rsidRDefault="005A7FEF" w:rsidP="005A7FEF">
            <w:pPr>
              <w:ind w:left="216"/>
              <w:jc w:val="center"/>
              <w:rPr>
                <w:rFonts w:ascii="Times New Roman" w:hAnsi="Times New Roman"/>
                <w:b/>
                <w:sz w:val="20"/>
                <w:szCs w:val="20"/>
              </w:rPr>
            </w:pPr>
          </w:p>
          <w:p w14:paraId="7775C2F8" w14:textId="090C21F5" w:rsidR="005A7FEF" w:rsidRDefault="005A7FEF" w:rsidP="005A7FEF">
            <w:pPr>
              <w:ind w:left="216"/>
              <w:jc w:val="center"/>
              <w:rPr>
                <w:rFonts w:ascii="Times New Roman" w:hAnsi="Times New Roman"/>
                <w:b/>
                <w:sz w:val="20"/>
                <w:szCs w:val="20"/>
              </w:rPr>
            </w:pPr>
            <w:r w:rsidRPr="00B549A5">
              <w:rPr>
                <w:rFonts w:ascii="Times New Roman" w:hAnsi="Times New Roman"/>
                <w:b/>
                <w:sz w:val="20"/>
                <w:szCs w:val="20"/>
              </w:rPr>
              <w:t xml:space="preserve">The policies listed below </w:t>
            </w:r>
            <w:r>
              <w:rPr>
                <w:rFonts w:ascii="Times New Roman" w:hAnsi="Times New Roman"/>
                <w:b/>
                <w:sz w:val="20"/>
                <w:szCs w:val="20"/>
              </w:rPr>
              <w:t xml:space="preserve">should be </w:t>
            </w:r>
            <w:r w:rsidRPr="001714D6">
              <w:rPr>
                <w:rFonts w:ascii="Times New Roman" w:hAnsi="Times New Roman"/>
                <w:b/>
                <w:sz w:val="20"/>
                <w:szCs w:val="20"/>
                <w:u w:val="single"/>
              </w:rPr>
              <w:t>rescinded</w:t>
            </w:r>
            <w:r>
              <w:rPr>
                <w:rFonts w:ascii="Times New Roman" w:hAnsi="Times New Roman"/>
                <w:b/>
                <w:sz w:val="20"/>
                <w:szCs w:val="20"/>
              </w:rPr>
              <w:t xml:space="preserve">.  They have been superseded by policies included with this update. </w:t>
            </w:r>
          </w:p>
          <w:p w14:paraId="6BE0C7E6" w14:textId="77777777" w:rsidR="005A7FEF" w:rsidRPr="00B549A5" w:rsidRDefault="005A7FEF" w:rsidP="005A7FEF">
            <w:pPr>
              <w:rPr>
                <w:rFonts w:ascii="Times New Roman" w:hAnsi="Times New Roman"/>
                <w:color w:val="000000" w:themeColor="text1"/>
                <w:sz w:val="20"/>
                <w:szCs w:val="20"/>
              </w:rPr>
            </w:pPr>
          </w:p>
        </w:tc>
      </w:tr>
      <w:tr w:rsidR="005A7FEF" w:rsidRPr="00B549A5" w14:paraId="3C49EE7E" w14:textId="77777777" w:rsidTr="005A7FEF">
        <w:tc>
          <w:tcPr>
            <w:tcW w:w="14490" w:type="dxa"/>
            <w:gridSpan w:val="5"/>
            <w:tcBorders>
              <w:bottom w:val="single" w:sz="4" w:space="0" w:color="auto"/>
            </w:tcBorders>
            <w:shd w:val="clear" w:color="auto" w:fill="C4BC96" w:themeFill="background2" w:themeFillShade="BF"/>
          </w:tcPr>
          <w:p w14:paraId="0075A50F" w14:textId="77777777" w:rsidR="005A7FEF" w:rsidRPr="00B549A5" w:rsidRDefault="005A7FEF" w:rsidP="005A7FEF">
            <w:pPr>
              <w:rPr>
                <w:rFonts w:ascii="Times New Roman" w:hAnsi="Times New Roman"/>
                <w:color w:val="000000" w:themeColor="text1"/>
                <w:sz w:val="20"/>
                <w:szCs w:val="20"/>
              </w:rPr>
            </w:pPr>
          </w:p>
        </w:tc>
      </w:tr>
      <w:tr w:rsidR="00137E4C" w:rsidRPr="00B549A5" w14:paraId="4F76ED47" w14:textId="77777777" w:rsidTr="00137E4C">
        <w:tc>
          <w:tcPr>
            <w:tcW w:w="1620" w:type="dxa"/>
            <w:shd w:val="clear" w:color="auto" w:fill="D9D9D9" w:themeFill="background1" w:themeFillShade="D9"/>
          </w:tcPr>
          <w:p w14:paraId="25398644" w14:textId="77777777" w:rsidR="00137E4C" w:rsidRDefault="00137E4C" w:rsidP="005A7FEF">
            <w:pPr>
              <w:rPr>
                <w:rFonts w:ascii="Times New Roman" w:hAnsi="Times New Roman"/>
                <w:b/>
                <w:sz w:val="20"/>
                <w:szCs w:val="20"/>
              </w:rPr>
            </w:pPr>
            <w:r w:rsidRPr="00B549A5">
              <w:rPr>
                <w:rFonts w:ascii="Times New Roman" w:hAnsi="Times New Roman"/>
                <w:b/>
                <w:sz w:val="20"/>
                <w:szCs w:val="20"/>
              </w:rPr>
              <w:t xml:space="preserve">Updated Policy </w:t>
            </w:r>
          </w:p>
          <w:p w14:paraId="515C402D" w14:textId="77777777" w:rsidR="00137E4C" w:rsidRDefault="00137E4C" w:rsidP="005A7FEF">
            <w:pPr>
              <w:rPr>
                <w:rFonts w:ascii="Times New Roman" w:hAnsi="Times New Roman"/>
                <w:color w:val="000000" w:themeColor="text1"/>
                <w:sz w:val="20"/>
                <w:szCs w:val="20"/>
              </w:rPr>
            </w:pPr>
          </w:p>
        </w:tc>
        <w:tc>
          <w:tcPr>
            <w:tcW w:w="1890" w:type="dxa"/>
            <w:shd w:val="clear" w:color="auto" w:fill="D9D9D9" w:themeFill="background1" w:themeFillShade="D9"/>
          </w:tcPr>
          <w:p w14:paraId="5B16DB1C" w14:textId="2AE0A1D7" w:rsidR="00137E4C" w:rsidRPr="000F115B" w:rsidRDefault="00137E4C" w:rsidP="005A7FEF">
            <w:pPr>
              <w:rPr>
                <w:rFonts w:ascii="Times New Roman" w:hAnsi="Times New Roman"/>
                <w:color w:val="000000" w:themeColor="text1"/>
                <w:sz w:val="20"/>
                <w:szCs w:val="20"/>
              </w:rPr>
            </w:pPr>
            <w:r w:rsidRPr="00B549A5">
              <w:rPr>
                <w:rFonts w:ascii="Times New Roman" w:hAnsi="Times New Roman"/>
                <w:b/>
                <w:sz w:val="20"/>
                <w:szCs w:val="20"/>
              </w:rPr>
              <w:t>Policy Title</w:t>
            </w:r>
          </w:p>
        </w:tc>
        <w:tc>
          <w:tcPr>
            <w:tcW w:w="3445" w:type="dxa"/>
            <w:shd w:val="clear" w:color="auto" w:fill="D9D9D9" w:themeFill="background1" w:themeFillShade="D9"/>
          </w:tcPr>
          <w:p w14:paraId="16E09612" w14:textId="06AD855C" w:rsidR="00137E4C" w:rsidRDefault="00137E4C" w:rsidP="005A7FEF">
            <w:pPr>
              <w:pStyle w:val="ColorfulList-Accent11"/>
              <w:ind w:left="246"/>
              <w:rPr>
                <w:rFonts w:ascii="Times New Roman" w:hAnsi="Times New Roman"/>
                <w:color w:val="000000" w:themeColor="text1"/>
                <w:sz w:val="20"/>
                <w:szCs w:val="20"/>
              </w:rPr>
            </w:pPr>
            <w:r w:rsidRPr="00B549A5">
              <w:rPr>
                <w:rFonts w:ascii="Times New Roman" w:hAnsi="Times New Roman"/>
                <w:b/>
                <w:sz w:val="20"/>
                <w:szCs w:val="20"/>
              </w:rPr>
              <w:t>Description of Update</w:t>
            </w:r>
          </w:p>
        </w:tc>
        <w:tc>
          <w:tcPr>
            <w:tcW w:w="3780" w:type="dxa"/>
            <w:shd w:val="clear" w:color="auto" w:fill="D9D9D9" w:themeFill="background1" w:themeFillShade="D9"/>
          </w:tcPr>
          <w:p w14:paraId="553ACDDA" w14:textId="04373DA9" w:rsidR="00137E4C" w:rsidRDefault="00137E4C" w:rsidP="005A7FEF">
            <w:pPr>
              <w:rPr>
                <w:rFonts w:ascii="Times New Roman" w:hAnsi="Times New Roman"/>
                <w:color w:val="000000" w:themeColor="text1"/>
                <w:sz w:val="20"/>
                <w:szCs w:val="20"/>
              </w:rPr>
            </w:pPr>
            <w:r>
              <w:rPr>
                <w:rFonts w:ascii="Times New Roman" w:hAnsi="Times New Roman"/>
                <w:b/>
                <w:sz w:val="20"/>
                <w:szCs w:val="20"/>
              </w:rPr>
              <w:t>Legal Authority Involved</w:t>
            </w:r>
          </w:p>
        </w:tc>
        <w:tc>
          <w:tcPr>
            <w:tcW w:w="3755" w:type="dxa"/>
            <w:shd w:val="clear" w:color="auto" w:fill="D9D9D9" w:themeFill="background1" w:themeFillShade="D9"/>
          </w:tcPr>
          <w:p w14:paraId="66B52C72" w14:textId="7CDC4C28" w:rsidR="00137E4C" w:rsidRDefault="00137E4C" w:rsidP="005A7FEF">
            <w:pPr>
              <w:rPr>
                <w:rFonts w:ascii="Times New Roman" w:hAnsi="Times New Roman"/>
                <w:color w:val="000000" w:themeColor="text1"/>
                <w:sz w:val="20"/>
                <w:szCs w:val="20"/>
              </w:rPr>
            </w:pPr>
            <w:r w:rsidRPr="00B549A5">
              <w:rPr>
                <w:rFonts w:ascii="Times New Roman" w:hAnsi="Times New Roman"/>
                <w:b/>
                <w:sz w:val="20"/>
                <w:szCs w:val="20"/>
              </w:rPr>
              <w:t>Notes</w:t>
            </w:r>
          </w:p>
        </w:tc>
      </w:tr>
      <w:tr w:rsidR="00137E4C" w:rsidRPr="00B549A5" w14:paraId="41257313" w14:textId="77777777" w:rsidTr="00137E4C">
        <w:tc>
          <w:tcPr>
            <w:tcW w:w="1620" w:type="dxa"/>
          </w:tcPr>
          <w:p w14:paraId="1BCF24E6" w14:textId="090CF349" w:rsidR="00137E4C" w:rsidRPr="00AB0668" w:rsidRDefault="00137E4C" w:rsidP="005A7FEF">
            <w:pPr>
              <w:rPr>
                <w:rFonts w:ascii="Times New Roman" w:hAnsi="Times New Roman"/>
                <w:strike/>
                <w:color w:val="000000" w:themeColor="text1"/>
                <w:sz w:val="20"/>
                <w:szCs w:val="20"/>
              </w:rPr>
            </w:pPr>
            <w:r w:rsidRPr="00AB0668">
              <w:rPr>
                <w:rFonts w:ascii="Times New Roman" w:hAnsi="Times New Roman"/>
                <w:strike/>
                <w:color w:val="000000" w:themeColor="text1"/>
                <w:sz w:val="20"/>
                <w:szCs w:val="20"/>
              </w:rPr>
              <w:t>1710/4021/7230</w:t>
            </w:r>
          </w:p>
        </w:tc>
        <w:tc>
          <w:tcPr>
            <w:tcW w:w="1890" w:type="dxa"/>
          </w:tcPr>
          <w:p w14:paraId="74C74DA3" w14:textId="50DDF46F" w:rsidR="00137E4C" w:rsidRPr="00E571FE" w:rsidRDefault="00137E4C" w:rsidP="005A7FEF">
            <w:pPr>
              <w:rPr>
                <w:rFonts w:ascii="Times New Roman" w:hAnsi="Times New Roman"/>
                <w:strike/>
                <w:color w:val="000000" w:themeColor="text1"/>
                <w:sz w:val="20"/>
                <w:szCs w:val="20"/>
              </w:rPr>
            </w:pPr>
            <w:r w:rsidRPr="00E571FE">
              <w:rPr>
                <w:rFonts w:ascii="Times New Roman" w:hAnsi="Times New Roman"/>
                <w:strike/>
                <w:color w:val="000000" w:themeColor="text1"/>
                <w:sz w:val="20"/>
                <w:szCs w:val="20"/>
              </w:rPr>
              <w:t>Prohibition Against Discrimination, Harassment, and Bullying</w:t>
            </w:r>
          </w:p>
        </w:tc>
        <w:tc>
          <w:tcPr>
            <w:tcW w:w="3445" w:type="dxa"/>
          </w:tcPr>
          <w:p w14:paraId="6DF73A03" w14:textId="77777777" w:rsidR="00137E4C" w:rsidRDefault="00137E4C"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This policy has been superseded by new policies 1710/4020/7230, 1720/4030/7235, 1725/4035/7236.</w:t>
            </w:r>
          </w:p>
          <w:p w14:paraId="1CFA6E5D" w14:textId="475C483C" w:rsidR="00137E4C" w:rsidRPr="008019A4" w:rsidRDefault="00137E4C" w:rsidP="005A7FEF">
            <w:pPr>
              <w:pStyle w:val="ColorfulList-Accent11"/>
              <w:ind w:left="246"/>
              <w:rPr>
                <w:rFonts w:ascii="Times New Roman" w:hAnsi="Times New Roman"/>
                <w:b/>
                <w:bCs/>
                <w:color w:val="000000" w:themeColor="text1"/>
                <w:sz w:val="20"/>
                <w:szCs w:val="20"/>
              </w:rPr>
            </w:pPr>
            <w:r>
              <w:rPr>
                <w:rFonts w:ascii="Times New Roman" w:hAnsi="Times New Roman"/>
                <w:color w:val="000000" w:themeColor="text1"/>
                <w:sz w:val="20"/>
                <w:szCs w:val="20"/>
              </w:rPr>
              <w:t xml:space="preserve">4329/7311, and 7232.  </w:t>
            </w:r>
            <w:r>
              <w:rPr>
                <w:rFonts w:ascii="Times New Roman" w:hAnsi="Times New Roman"/>
                <w:b/>
                <w:bCs/>
                <w:color w:val="000000" w:themeColor="text1"/>
                <w:sz w:val="20"/>
                <w:szCs w:val="20"/>
              </w:rPr>
              <w:t>(Required)</w:t>
            </w:r>
          </w:p>
        </w:tc>
        <w:tc>
          <w:tcPr>
            <w:tcW w:w="3780" w:type="dxa"/>
          </w:tcPr>
          <w:p w14:paraId="4772A7A6" w14:textId="77777777" w:rsidR="00137E4C" w:rsidRPr="00B549A5" w:rsidRDefault="00137E4C" w:rsidP="005A7FEF">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tc>
        <w:tc>
          <w:tcPr>
            <w:tcW w:w="3755" w:type="dxa"/>
          </w:tcPr>
          <w:p w14:paraId="1E0BAE2B" w14:textId="372CA996" w:rsidR="00137E4C" w:rsidRPr="00B549A5" w:rsidRDefault="00137E4C" w:rsidP="005A7FEF">
            <w:pPr>
              <w:rPr>
                <w:rFonts w:ascii="Times New Roman" w:hAnsi="Times New Roman"/>
                <w:color w:val="000000" w:themeColor="text1"/>
                <w:sz w:val="20"/>
                <w:szCs w:val="20"/>
              </w:rPr>
            </w:pPr>
          </w:p>
        </w:tc>
      </w:tr>
      <w:tr w:rsidR="00137E4C" w:rsidRPr="00B549A5" w14:paraId="769EB988" w14:textId="77777777" w:rsidTr="00137E4C">
        <w:tc>
          <w:tcPr>
            <w:tcW w:w="1620" w:type="dxa"/>
          </w:tcPr>
          <w:p w14:paraId="0041ABF9" w14:textId="799AA23E" w:rsidR="00137E4C" w:rsidRPr="00AB0668" w:rsidRDefault="00137E4C" w:rsidP="005A7FEF">
            <w:pPr>
              <w:rPr>
                <w:rFonts w:ascii="Times New Roman" w:hAnsi="Times New Roman"/>
                <w:strike/>
                <w:color w:val="000000" w:themeColor="text1"/>
                <w:sz w:val="20"/>
                <w:szCs w:val="20"/>
              </w:rPr>
            </w:pPr>
            <w:r w:rsidRPr="00AB0668">
              <w:rPr>
                <w:rFonts w:ascii="Times New Roman" w:hAnsi="Times New Roman"/>
                <w:strike/>
                <w:color w:val="000000" w:themeColor="text1"/>
                <w:sz w:val="20"/>
                <w:szCs w:val="20"/>
              </w:rPr>
              <w:t>1720/4015/7225</w:t>
            </w:r>
          </w:p>
        </w:tc>
        <w:tc>
          <w:tcPr>
            <w:tcW w:w="1890" w:type="dxa"/>
          </w:tcPr>
          <w:p w14:paraId="726F26C0" w14:textId="3C4F1F2E" w:rsidR="00137E4C" w:rsidRPr="00E571FE" w:rsidRDefault="00137E4C" w:rsidP="005A7FEF">
            <w:pPr>
              <w:rPr>
                <w:rFonts w:ascii="Times New Roman" w:hAnsi="Times New Roman"/>
                <w:strike/>
                <w:color w:val="000000" w:themeColor="text1"/>
                <w:sz w:val="20"/>
                <w:szCs w:val="20"/>
              </w:rPr>
            </w:pPr>
            <w:r w:rsidRPr="00E571FE">
              <w:rPr>
                <w:rFonts w:ascii="Times New Roman" w:hAnsi="Times New Roman"/>
                <w:strike/>
                <w:color w:val="000000" w:themeColor="text1"/>
                <w:sz w:val="20"/>
                <w:szCs w:val="20"/>
              </w:rPr>
              <w:t>Discrimination, Harassment, and Bullying Complaint Procedure</w:t>
            </w:r>
          </w:p>
        </w:tc>
        <w:tc>
          <w:tcPr>
            <w:tcW w:w="3445" w:type="dxa"/>
          </w:tcPr>
          <w:p w14:paraId="2D2E95E7" w14:textId="49DBA397" w:rsidR="00137E4C" w:rsidRPr="00B549A5" w:rsidRDefault="00137E4C"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This policy has been superseded by new policies 1710/4020/7230, 1726/4036/7237, 4329/7311, and 7232. </w:t>
            </w:r>
            <w:r>
              <w:rPr>
                <w:rFonts w:ascii="Times New Roman" w:hAnsi="Times New Roman"/>
                <w:b/>
                <w:bCs/>
                <w:color w:val="000000" w:themeColor="text1"/>
                <w:sz w:val="20"/>
                <w:szCs w:val="20"/>
              </w:rPr>
              <w:t>(Required)</w:t>
            </w:r>
          </w:p>
        </w:tc>
        <w:tc>
          <w:tcPr>
            <w:tcW w:w="3780" w:type="dxa"/>
          </w:tcPr>
          <w:p w14:paraId="6AA40D18" w14:textId="77777777" w:rsidR="00137E4C" w:rsidRPr="00B549A5" w:rsidRDefault="00137E4C" w:rsidP="005A7FEF">
            <w:pPr>
              <w:rPr>
                <w:rFonts w:ascii="Times New Roman" w:hAnsi="Times New Roman"/>
                <w:color w:val="000000" w:themeColor="text1"/>
                <w:sz w:val="20"/>
                <w:szCs w:val="20"/>
              </w:rPr>
            </w:pPr>
          </w:p>
        </w:tc>
        <w:tc>
          <w:tcPr>
            <w:tcW w:w="3755" w:type="dxa"/>
          </w:tcPr>
          <w:p w14:paraId="43D10468" w14:textId="77777777" w:rsidR="00137E4C" w:rsidRDefault="00137E4C" w:rsidP="005A7FEF">
            <w:pPr>
              <w:rPr>
                <w:rFonts w:ascii="Times New Roman" w:hAnsi="Times New Roman"/>
                <w:color w:val="000000" w:themeColor="text1"/>
                <w:sz w:val="20"/>
                <w:szCs w:val="20"/>
              </w:rPr>
            </w:pPr>
          </w:p>
          <w:p w14:paraId="1FBB00E1" w14:textId="77777777" w:rsidR="00E26075" w:rsidRDefault="00E26075" w:rsidP="005A7FEF">
            <w:pPr>
              <w:rPr>
                <w:rFonts w:ascii="Times New Roman" w:hAnsi="Times New Roman"/>
                <w:color w:val="000000" w:themeColor="text1"/>
                <w:sz w:val="20"/>
                <w:szCs w:val="20"/>
              </w:rPr>
            </w:pPr>
          </w:p>
          <w:p w14:paraId="5C3BB9E3" w14:textId="77777777" w:rsidR="00E26075" w:rsidRDefault="00E26075" w:rsidP="005A7FEF">
            <w:pPr>
              <w:rPr>
                <w:rFonts w:ascii="Times New Roman" w:hAnsi="Times New Roman"/>
                <w:color w:val="000000" w:themeColor="text1"/>
                <w:sz w:val="20"/>
                <w:szCs w:val="20"/>
              </w:rPr>
            </w:pPr>
          </w:p>
          <w:p w14:paraId="60B13CD3" w14:textId="77777777" w:rsidR="00E26075" w:rsidRDefault="00E26075" w:rsidP="005A7FEF">
            <w:pPr>
              <w:rPr>
                <w:rFonts w:ascii="Times New Roman" w:hAnsi="Times New Roman"/>
                <w:color w:val="000000" w:themeColor="text1"/>
                <w:sz w:val="20"/>
                <w:szCs w:val="20"/>
              </w:rPr>
            </w:pPr>
          </w:p>
          <w:p w14:paraId="0EFF63A7" w14:textId="6D333626" w:rsidR="00E26075" w:rsidRPr="00B549A5" w:rsidRDefault="00E26075" w:rsidP="005A7FEF">
            <w:pPr>
              <w:rPr>
                <w:rFonts w:ascii="Times New Roman" w:hAnsi="Times New Roman"/>
                <w:color w:val="000000" w:themeColor="text1"/>
                <w:sz w:val="20"/>
                <w:szCs w:val="20"/>
              </w:rPr>
            </w:pPr>
          </w:p>
        </w:tc>
      </w:tr>
    </w:tbl>
    <w:tbl>
      <w:tblPr>
        <w:tblW w:w="144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0"/>
        <w:gridCol w:w="1800"/>
        <w:gridCol w:w="2880"/>
        <w:gridCol w:w="2700"/>
        <w:gridCol w:w="5310"/>
      </w:tblGrid>
      <w:tr w:rsidR="00C76CA8" w:rsidRPr="00B549A5" w14:paraId="2DD96C19" w14:textId="77777777" w:rsidTr="00782C4E">
        <w:tc>
          <w:tcPr>
            <w:tcW w:w="14490" w:type="dxa"/>
            <w:gridSpan w:val="5"/>
            <w:shd w:val="clear" w:color="auto" w:fill="C4BC96" w:themeFill="background2" w:themeFillShade="BF"/>
          </w:tcPr>
          <w:p w14:paraId="51D32FB1" w14:textId="5C0EBFA6" w:rsidR="00C76CA8" w:rsidRPr="00B549A5" w:rsidRDefault="00C76CA8" w:rsidP="00C76CA8">
            <w:pPr>
              <w:rPr>
                <w:rFonts w:ascii="Times New Roman" w:hAnsi="Times New Roman"/>
                <w:color w:val="000000" w:themeColor="text1"/>
                <w:sz w:val="20"/>
                <w:szCs w:val="20"/>
              </w:rPr>
            </w:pPr>
          </w:p>
        </w:tc>
      </w:tr>
      <w:tr w:rsidR="00C76CA8" w:rsidRPr="00B549A5" w14:paraId="40C73A38" w14:textId="77777777" w:rsidTr="00782C4E">
        <w:tc>
          <w:tcPr>
            <w:tcW w:w="14490" w:type="dxa"/>
            <w:gridSpan w:val="5"/>
          </w:tcPr>
          <w:p w14:paraId="40E856EA" w14:textId="77777777" w:rsidR="00C76CA8" w:rsidRDefault="00C76CA8" w:rsidP="00C76CA8">
            <w:pPr>
              <w:ind w:left="216"/>
              <w:jc w:val="center"/>
              <w:rPr>
                <w:rFonts w:ascii="Times New Roman" w:hAnsi="Times New Roman"/>
                <w:b/>
                <w:sz w:val="20"/>
                <w:szCs w:val="20"/>
              </w:rPr>
            </w:pPr>
          </w:p>
          <w:p w14:paraId="2C5B2015" w14:textId="2B110601" w:rsidR="00C76CA8" w:rsidRPr="00C76CA8" w:rsidRDefault="00C76CA8" w:rsidP="00C76CA8">
            <w:pPr>
              <w:ind w:left="216"/>
              <w:jc w:val="center"/>
              <w:rPr>
                <w:rFonts w:ascii="Times New Roman" w:hAnsi="Times New Roman"/>
                <w:b/>
              </w:rPr>
            </w:pPr>
            <w:r w:rsidRPr="00C76CA8">
              <w:rPr>
                <w:rFonts w:ascii="Times New Roman" w:hAnsi="Times New Roman"/>
                <w:b/>
              </w:rPr>
              <w:t xml:space="preserve">Policy Updates and New Policies </w:t>
            </w:r>
          </w:p>
          <w:p w14:paraId="78BB3402" w14:textId="77777777" w:rsidR="00C76CA8" w:rsidRPr="00B549A5" w:rsidRDefault="00C76CA8" w:rsidP="00C76CA8">
            <w:pPr>
              <w:rPr>
                <w:rFonts w:ascii="Times New Roman" w:hAnsi="Times New Roman"/>
                <w:color w:val="000000" w:themeColor="text1"/>
                <w:sz w:val="20"/>
                <w:szCs w:val="20"/>
              </w:rPr>
            </w:pPr>
          </w:p>
        </w:tc>
      </w:tr>
      <w:tr w:rsidR="00C76CA8" w:rsidRPr="00B549A5" w14:paraId="49302A26" w14:textId="77777777" w:rsidTr="005A7FEF">
        <w:tc>
          <w:tcPr>
            <w:tcW w:w="14490" w:type="dxa"/>
            <w:gridSpan w:val="5"/>
            <w:tcBorders>
              <w:bottom w:val="single" w:sz="4" w:space="0" w:color="auto"/>
            </w:tcBorders>
            <w:shd w:val="clear" w:color="auto" w:fill="C4BC96" w:themeFill="background2" w:themeFillShade="BF"/>
          </w:tcPr>
          <w:p w14:paraId="6B9EE125" w14:textId="77777777" w:rsidR="00C76CA8" w:rsidRPr="00B549A5" w:rsidRDefault="00C76CA8" w:rsidP="00C76CA8">
            <w:pPr>
              <w:rPr>
                <w:rFonts w:ascii="Times New Roman" w:hAnsi="Times New Roman"/>
                <w:color w:val="000000" w:themeColor="text1"/>
                <w:sz w:val="20"/>
                <w:szCs w:val="20"/>
              </w:rPr>
            </w:pPr>
          </w:p>
        </w:tc>
      </w:tr>
      <w:tr w:rsidR="005A7FEF" w:rsidRPr="00B549A5" w14:paraId="47612479" w14:textId="77777777" w:rsidTr="000F67B5">
        <w:tc>
          <w:tcPr>
            <w:tcW w:w="1800" w:type="dxa"/>
            <w:shd w:val="clear" w:color="auto" w:fill="D9D9D9" w:themeFill="background1" w:themeFillShade="D9"/>
          </w:tcPr>
          <w:p w14:paraId="38DFDA52" w14:textId="77777777" w:rsidR="005A7FEF" w:rsidRDefault="005A7FEF" w:rsidP="005A7FEF">
            <w:pPr>
              <w:rPr>
                <w:rFonts w:ascii="Times New Roman" w:hAnsi="Times New Roman"/>
                <w:b/>
                <w:sz w:val="20"/>
                <w:szCs w:val="20"/>
              </w:rPr>
            </w:pPr>
            <w:r w:rsidRPr="00B549A5">
              <w:rPr>
                <w:rFonts w:ascii="Times New Roman" w:hAnsi="Times New Roman"/>
                <w:b/>
                <w:sz w:val="20"/>
                <w:szCs w:val="20"/>
              </w:rPr>
              <w:t xml:space="preserve">Updated Policy </w:t>
            </w:r>
          </w:p>
          <w:p w14:paraId="499AE416" w14:textId="77777777" w:rsidR="005A7FEF" w:rsidRDefault="005A7FEF" w:rsidP="005A7FEF">
            <w:pPr>
              <w:rPr>
                <w:rFonts w:ascii="Times New Roman" w:hAnsi="Times New Roman"/>
                <w:color w:val="000000" w:themeColor="text1"/>
                <w:sz w:val="20"/>
                <w:szCs w:val="20"/>
              </w:rPr>
            </w:pPr>
          </w:p>
        </w:tc>
        <w:tc>
          <w:tcPr>
            <w:tcW w:w="1800" w:type="dxa"/>
            <w:shd w:val="clear" w:color="auto" w:fill="D9D9D9" w:themeFill="background1" w:themeFillShade="D9"/>
          </w:tcPr>
          <w:p w14:paraId="562CEA2C" w14:textId="7EC747EA" w:rsidR="005A7FEF" w:rsidRDefault="005A7FEF" w:rsidP="005A7FEF">
            <w:pPr>
              <w:rPr>
                <w:rFonts w:ascii="Times New Roman" w:hAnsi="Times New Roman"/>
                <w:color w:val="000000" w:themeColor="text1"/>
                <w:sz w:val="20"/>
                <w:szCs w:val="20"/>
              </w:rPr>
            </w:pPr>
            <w:r w:rsidRPr="00B549A5">
              <w:rPr>
                <w:rFonts w:ascii="Times New Roman" w:hAnsi="Times New Roman"/>
                <w:b/>
                <w:sz w:val="20"/>
                <w:szCs w:val="20"/>
              </w:rPr>
              <w:t>Policy Title</w:t>
            </w:r>
          </w:p>
        </w:tc>
        <w:tc>
          <w:tcPr>
            <w:tcW w:w="2880" w:type="dxa"/>
            <w:shd w:val="clear" w:color="auto" w:fill="D9D9D9" w:themeFill="background1" w:themeFillShade="D9"/>
          </w:tcPr>
          <w:p w14:paraId="14206D15" w14:textId="3E1ECAD4" w:rsidR="005A7FEF" w:rsidRDefault="005A7FEF" w:rsidP="005A7FEF">
            <w:pPr>
              <w:pStyle w:val="ColorfulList-Accent11"/>
              <w:ind w:left="246"/>
              <w:rPr>
                <w:rFonts w:ascii="Times New Roman" w:hAnsi="Times New Roman"/>
                <w:color w:val="000000" w:themeColor="text1"/>
                <w:sz w:val="20"/>
                <w:szCs w:val="20"/>
              </w:rPr>
            </w:pPr>
            <w:r w:rsidRPr="00B549A5">
              <w:rPr>
                <w:rFonts w:ascii="Times New Roman" w:hAnsi="Times New Roman"/>
                <w:b/>
                <w:sz w:val="20"/>
                <w:szCs w:val="20"/>
              </w:rPr>
              <w:t>Description of Update</w:t>
            </w:r>
          </w:p>
        </w:tc>
        <w:tc>
          <w:tcPr>
            <w:tcW w:w="2700" w:type="dxa"/>
            <w:shd w:val="clear" w:color="auto" w:fill="D9D9D9" w:themeFill="background1" w:themeFillShade="D9"/>
          </w:tcPr>
          <w:p w14:paraId="3B0582F7" w14:textId="185F1FC9" w:rsidR="005A7FEF" w:rsidRDefault="005A7FEF" w:rsidP="005A7FEF">
            <w:pPr>
              <w:rPr>
                <w:rFonts w:ascii="Times New Roman" w:hAnsi="Times New Roman"/>
                <w:iCs/>
                <w:color w:val="000000" w:themeColor="text1"/>
                <w:sz w:val="20"/>
                <w:szCs w:val="20"/>
              </w:rPr>
            </w:pPr>
            <w:r>
              <w:rPr>
                <w:rFonts w:ascii="Times New Roman" w:hAnsi="Times New Roman"/>
                <w:b/>
                <w:sz w:val="20"/>
                <w:szCs w:val="20"/>
              </w:rPr>
              <w:t>Legal Authority Involved</w:t>
            </w:r>
          </w:p>
        </w:tc>
        <w:tc>
          <w:tcPr>
            <w:tcW w:w="5310" w:type="dxa"/>
            <w:shd w:val="clear" w:color="auto" w:fill="D9D9D9" w:themeFill="background1" w:themeFillShade="D9"/>
          </w:tcPr>
          <w:p w14:paraId="5D7E0A61" w14:textId="3D9296A3" w:rsidR="005A7FEF" w:rsidRDefault="005A7FEF" w:rsidP="005A7FEF">
            <w:pPr>
              <w:rPr>
                <w:rFonts w:ascii="Times New Roman" w:hAnsi="Times New Roman"/>
                <w:color w:val="000000" w:themeColor="text1"/>
                <w:sz w:val="20"/>
                <w:szCs w:val="20"/>
              </w:rPr>
            </w:pPr>
            <w:r w:rsidRPr="00B549A5">
              <w:rPr>
                <w:rFonts w:ascii="Times New Roman" w:hAnsi="Times New Roman"/>
                <w:b/>
                <w:sz w:val="20"/>
                <w:szCs w:val="20"/>
              </w:rPr>
              <w:t>Notes</w:t>
            </w:r>
          </w:p>
        </w:tc>
      </w:tr>
      <w:tr w:rsidR="005A7FEF" w:rsidRPr="00B549A5" w14:paraId="5FBA933B" w14:textId="77777777" w:rsidTr="000F67B5">
        <w:tc>
          <w:tcPr>
            <w:tcW w:w="1800" w:type="dxa"/>
          </w:tcPr>
          <w:p w14:paraId="7A1DEAC2" w14:textId="72DBB259"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1710/4020/7230 (New)</w:t>
            </w:r>
          </w:p>
        </w:tc>
        <w:tc>
          <w:tcPr>
            <w:tcW w:w="1800" w:type="dxa"/>
          </w:tcPr>
          <w:p w14:paraId="68C400AC" w14:textId="3E19F31F"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Discrimination and Harassment Prohibited by Federal Law</w:t>
            </w:r>
          </w:p>
        </w:tc>
        <w:tc>
          <w:tcPr>
            <w:tcW w:w="2880" w:type="dxa"/>
          </w:tcPr>
          <w:p w14:paraId="425AAB6A" w14:textId="541FF45B" w:rsidR="005A7FEF" w:rsidRPr="008019A4" w:rsidRDefault="005A7FEF" w:rsidP="005A7FEF">
            <w:pPr>
              <w:pStyle w:val="ColorfulList-Accent11"/>
              <w:ind w:left="246"/>
              <w:rPr>
                <w:rFonts w:ascii="Times New Roman" w:hAnsi="Times New Roman"/>
                <w:b/>
                <w:bCs/>
                <w:color w:val="000000" w:themeColor="text1"/>
                <w:sz w:val="20"/>
                <w:szCs w:val="20"/>
              </w:rPr>
            </w:pPr>
            <w:r>
              <w:rPr>
                <w:rFonts w:ascii="Times New Roman" w:hAnsi="Times New Roman"/>
                <w:color w:val="000000" w:themeColor="text1"/>
                <w:sz w:val="20"/>
                <w:szCs w:val="20"/>
              </w:rPr>
              <w:t>This new policy supersedes, in part, existing policies 1710/4021/7230 and 1720/4015/7225,</w:t>
            </w:r>
            <w:r w:rsidRPr="000F115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as described above. </w:t>
            </w:r>
            <w:r>
              <w:rPr>
                <w:rFonts w:ascii="Times New Roman" w:hAnsi="Times New Roman"/>
                <w:b/>
                <w:bCs/>
                <w:color w:val="000000" w:themeColor="text1"/>
                <w:sz w:val="20"/>
                <w:szCs w:val="20"/>
              </w:rPr>
              <w:t>(Required)</w:t>
            </w:r>
          </w:p>
        </w:tc>
        <w:tc>
          <w:tcPr>
            <w:tcW w:w="2700" w:type="dxa"/>
          </w:tcPr>
          <w:p w14:paraId="660CEB94" w14:textId="1EB8F60A" w:rsidR="005A7FEF" w:rsidRDefault="005A7FEF" w:rsidP="005A7FEF">
            <w:pPr>
              <w:rPr>
                <w:rFonts w:ascii="Times New Roman" w:hAnsi="Times New Roman"/>
                <w:iCs/>
                <w:color w:val="000000" w:themeColor="text1"/>
                <w:sz w:val="20"/>
                <w:szCs w:val="20"/>
              </w:rPr>
            </w:pPr>
            <w:r>
              <w:rPr>
                <w:rFonts w:ascii="Times New Roman" w:hAnsi="Times New Roman"/>
                <w:iCs/>
                <w:color w:val="000000" w:themeColor="text1"/>
                <w:sz w:val="20"/>
                <w:szCs w:val="20"/>
              </w:rPr>
              <w:t>Title IV of the Civil Rights Act of 1964;</w:t>
            </w:r>
          </w:p>
          <w:p w14:paraId="237D2BB5" w14:textId="44E72B36" w:rsidR="005A7FEF" w:rsidRDefault="005A7FEF" w:rsidP="005A7FEF">
            <w:pPr>
              <w:rPr>
                <w:rFonts w:ascii="Times New Roman" w:hAnsi="Times New Roman"/>
                <w:iCs/>
                <w:color w:val="000000" w:themeColor="text1"/>
                <w:sz w:val="20"/>
                <w:szCs w:val="20"/>
              </w:rPr>
            </w:pPr>
            <w:r>
              <w:rPr>
                <w:rFonts w:ascii="Times New Roman" w:hAnsi="Times New Roman"/>
                <w:iCs/>
                <w:color w:val="000000" w:themeColor="text1"/>
                <w:sz w:val="20"/>
                <w:szCs w:val="20"/>
              </w:rPr>
              <w:t xml:space="preserve">Title VI of the Civil rights Act of 1964; </w:t>
            </w:r>
          </w:p>
          <w:p w14:paraId="51B42550" w14:textId="65301C26" w:rsidR="005A7FEF" w:rsidRDefault="005A7FEF" w:rsidP="005A7FEF">
            <w:pPr>
              <w:rPr>
                <w:rFonts w:ascii="Times New Roman" w:hAnsi="Times New Roman"/>
                <w:iCs/>
                <w:color w:val="000000" w:themeColor="text1"/>
                <w:sz w:val="20"/>
                <w:szCs w:val="20"/>
              </w:rPr>
            </w:pPr>
            <w:r>
              <w:rPr>
                <w:rFonts w:ascii="Times New Roman" w:hAnsi="Times New Roman"/>
                <w:iCs/>
                <w:color w:val="000000" w:themeColor="text1"/>
                <w:sz w:val="20"/>
                <w:szCs w:val="20"/>
              </w:rPr>
              <w:t>Section 504 of the Rehabilitation Act;</w:t>
            </w:r>
          </w:p>
          <w:p w14:paraId="2B6ECEAF" w14:textId="273BCAD2" w:rsidR="005A7FEF" w:rsidRPr="004A3E2A" w:rsidRDefault="005A7FEF" w:rsidP="005A7FEF">
            <w:pPr>
              <w:rPr>
                <w:rFonts w:ascii="Times New Roman" w:hAnsi="Times New Roman"/>
                <w:iCs/>
                <w:color w:val="000000" w:themeColor="text1"/>
                <w:sz w:val="20"/>
                <w:szCs w:val="20"/>
              </w:rPr>
            </w:pPr>
            <w:r>
              <w:rPr>
                <w:rFonts w:ascii="Times New Roman" w:hAnsi="Times New Roman"/>
                <w:iCs/>
                <w:color w:val="000000" w:themeColor="text1"/>
                <w:sz w:val="20"/>
                <w:szCs w:val="20"/>
              </w:rPr>
              <w:t xml:space="preserve">Americans with Disabilities Act </w:t>
            </w:r>
          </w:p>
        </w:tc>
        <w:tc>
          <w:tcPr>
            <w:tcW w:w="5310" w:type="dxa"/>
          </w:tcPr>
          <w:p w14:paraId="54FBECDC" w14:textId="30EB41BB"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 xml:space="preserve">This policy prohibits discrimination and harassment </w:t>
            </w:r>
            <w:r w:rsidR="00457C97">
              <w:rPr>
                <w:rFonts w:ascii="Times New Roman" w:hAnsi="Times New Roman"/>
                <w:color w:val="000000" w:themeColor="text1"/>
                <w:sz w:val="20"/>
                <w:szCs w:val="20"/>
              </w:rPr>
              <w:t>based on</w:t>
            </w:r>
            <w:r>
              <w:rPr>
                <w:rFonts w:ascii="Times New Roman" w:hAnsi="Times New Roman"/>
                <w:color w:val="000000" w:themeColor="text1"/>
                <w:sz w:val="20"/>
                <w:szCs w:val="20"/>
              </w:rPr>
              <w:t xml:space="preserve"> certain characteristics protected by federal law, including race, color, national origin, religion, and disability</w:t>
            </w:r>
            <w:r w:rsidR="00DF2A8D">
              <w:rPr>
                <w:rFonts w:ascii="Times New Roman" w:hAnsi="Times New Roman"/>
                <w:color w:val="000000" w:themeColor="text1"/>
                <w:sz w:val="20"/>
                <w:szCs w:val="20"/>
              </w:rPr>
              <w:t>, but excluding sex</w:t>
            </w:r>
            <w:r>
              <w:rPr>
                <w:rFonts w:ascii="Times New Roman" w:hAnsi="Times New Roman"/>
                <w:color w:val="000000" w:themeColor="text1"/>
                <w:sz w:val="20"/>
                <w:szCs w:val="20"/>
              </w:rPr>
              <w:t xml:space="preserve">.  It provides a reporting and investigative process for complaints of policy violations. </w:t>
            </w:r>
          </w:p>
        </w:tc>
      </w:tr>
      <w:tr w:rsidR="005A7FEF" w:rsidRPr="009A4921" w14:paraId="3B731B91" w14:textId="77777777" w:rsidTr="000F67B5">
        <w:tc>
          <w:tcPr>
            <w:tcW w:w="1800" w:type="dxa"/>
          </w:tcPr>
          <w:p w14:paraId="13AF1A13" w14:textId="13A6DAA3" w:rsidR="005A7FEF" w:rsidRPr="007B0D81"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1720/4030/7235 (New)</w:t>
            </w:r>
          </w:p>
        </w:tc>
        <w:tc>
          <w:tcPr>
            <w:tcW w:w="1800" w:type="dxa"/>
          </w:tcPr>
          <w:p w14:paraId="3F880400" w14:textId="658EE807" w:rsidR="005A7FEF" w:rsidRPr="009A4921" w:rsidRDefault="005A7FEF" w:rsidP="005A7FEF">
            <w:pPr>
              <w:rPr>
                <w:rFonts w:ascii="Times New Roman" w:hAnsi="Times New Roman"/>
                <w:color w:val="000000" w:themeColor="text1"/>
                <w:sz w:val="20"/>
                <w:szCs w:val="20"/>
              </w:rPr>
            </w:pPr>
            <w:r w:rsidRPr="009A4921">
              <w:rPr>
                <w:rFonts w:ascii="Times New Roman" w:hAnsi="Times New Roman"/>
                <w:color w:val="000000" w:themeColor="text1"/>
                <w:sz w:val="20"/>
                <w:szCs w:val="20"/>
              </w:rPr>
              <w:t>Title IX Nondiscrimination on the</w:t>
            </w:r>
            <w:r>
              <w:rPr>
                <w:rFonts w:ascii="Times New Roman" w:hAnsi="Times New Roman"/>
                <w:color w:val="000000" w:themeColor="text1"/>
                <w:sz w:val="20"/>
                <w:szCs w:val="20"/>
              </w:rPr>
              <w:t xml:space="preserve"> Basis of Sex</w:t>
            </w:r>
          </w:p>
        </w:tc>
        <w:tc>
          <w:tcPr>
            <w:tcW w:w="2880" w:type="dxa"/>
          </w:tcPr>
          <w:p w14:paraId="026EE049" w14:textId="77777777" w:rsidR="005A7FEF" w:rsidRPr="007D2227"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This policy is intended to meet the board’s obligation to provide notice of nondiscrimination on the basis of sex. </w:t>
            </w:r>
            <w:r>
              <w:rPr>
                <w:rFonts w:ascii="Times New Roman" w:hAnsi="Times New Roman"/>
                <w:b/>
                <w:bCs/>
                <w:color w:val="000000" w:themeColor="text1"/>
                <w:sz w:val="20"/>
                <w:szCs w:val="20"/>
              </w:rPr>
              <w:t>(Required)</w:t>
            </w:r>
          </w:p>
          <w:p w14:paraId="600E3736" w14:textId="7AD8640F" w:rsidR="007D2227" w:rsidRPr="009A4921" w:rsidRDefault="007D2227"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b/>
                <w:bCs/>
                <w:color w:val="000000" w:themeColor="text1"/>
                <w:sz w:val="20"/>
                <w:szCs w:val="20"/>
              </w:rPr>
              <w:t>Please add the email address of your Title IX coordinator in Section A.</w:t>
            </w:r>
          </w:p>
        </w:tc>
        <w:tc>
          <w:tcPr>
            <w:tcW w:w="2700" w:type="dxa"/>
          </w:tcPr>
          <w:p w14:paraId="15DF312F" w14:textId="62C1A645"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Title IX of the Education Amendments Act of 1972;</w:t>
            </w:r>
          </w:p>
          <w:p w14:paraId="1C68E9D6" w14:textId="1A5FA820" w:rsidR="005A7FEF" w:rsidRPr="009A4921" w:rsidRDefault="005A7FEF" w:rsidP="005A7FEF">
            <w:pPr>
              <w:rPr>
                <w:rFonts w:ascii="Times New Roman" w:hAnsi="Times New Roman"/>
                <w:color w:val="FF0000"/>
                <w:sz w:val="20"/>
                <w:szCs w:val="20"/>
              </w:rPr>
            </w:pPr>
            <w:r>
              <w:rPr>
                <w:rFonts w:ascii="Times New Roman" w:hAnsi="Times New Roman"/>
                <w:color w:val="000000" w:themeColor="text1"/>
                <w:sz w:val="20"/>
                <w:szCs w:val="20"/>
              </w:rPr>
              <w:t>34 C.F.R Part 106</w:t>
            </w:r>
          </w:p>
        </w:tc>
        <w:tc>
          <w:tcPr>
            <w:tcW w:w="5310" w:type="dxa"/>
          </w:tcPr>
          <w:p w14:paraId="7FDF7AB3" w14:textId="3A239C8D" w:rsidR="005A7FEF" w:rsidRPr="009A4921"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 xml:space="preserve">This policy declares the board’s </w:t>
            </w:r>
            <w:r w:rsidR="00DF2A8D">
              <w:rPr>
                <w:rFonts w:ascii="Times New Roman" w:hAnsi="Times New Roman"/>
                <w:color w:val="000000" w:themeColor="text1"/>
                <w:sz w:val="20"/>
                <w:szCs w:val="20"/>
              </w:rPr>
              <w:t xml:space="preserve">policy of nondiscrimination on the basis of sex </w:t>
            </w:r>
            <w:r>
              <w:rPr>
                <w:rFonts w:ascii="Times New Roman" w:hAnsi="Times New Roman"/>
                <w:color w:val="000000" w:themeColor="text1"/>
                <w:sz w:val="20"/>
                <w:szCs w:val="20"/>
              </w:rPr>
              <w:t>in the programs and activities of the school system.   Certain elements of the policy must be posted online and included in student and employee handbooks.  Information about those requirements is provided in the footnotes.</w:t>
            </w:r>
          </w:p>
        </w:tc>
      </w:tr>
      <w:tr w:rsidR="005A7FEF" w:rsidRPr="00B549A5" w14:paraId="6F504CF8" w14:textId="77777777" w:rsidTr="000F67B5">
        <w:tc>
          <w:tcPr>
            <w:tcW w:w="1800" w:type="dxa"/>
          </w:tcPr>
          <w:p w14:paraId="49F54AF0" w14:textId="51B7788F"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1725/4035/7236 (New)</w:t>
            </w:r>
          </w:p>
        </w:tc>
        <w:tc>
          <w:tcPr>
            <w:tcW w:w="1800" w:type="dxa"/>
          </w:tcPr>
          <w:p w14:paraId="6248BB0B" w14:textId="5F7CFF53"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Title IX Sexual Harassment – Prohibited Conduct and Reporting Process</w:t>
            </w:r>
          </w:p>
        </w:tc>
        <w:tc>
          <w:tcPr>
            <w:tcW w:w="2880" w:type="dxa"/>
          </w:tcPr>
          <w:p w14:paraId="1B3C7761" w14:textId="6C268663" w:rsidR="005A7FEF" w:rsidRPr="00B549A5"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This new policy supersedes policy 1710/4021/7230, </w:t>
            </w:r>
            <w:r w:rsidRPr="000F115B">
              <w:rPr>
                <w:rFonts w:ascii="Times New Roman" w:hAnsi="Times New Roman"/>
                <w:color w:val="000000" w:themeColor="text1"/>
                <w:sz w:val="20"/>
                <w:szCs w:val="20"/>
              </w:rPr>
              <w:t>Prohibition Against Discrimination, Harassment, and Bullying</w:t>
            </w:r>
            <w:r>
              <w:rPr>
                <w:rFonts w:ascii="Times New Roman" w:hAnsi="Times New Roman"/>
                <w:color w:val="000000" w:themeColor="text1"/>
                <w:sz w:val="20"/>
                <w:szCs w:val="20"/>
              </w:rPr>
              <w:t xml:space="preserve">, in part.  It specifically prohibits sexual harassment as defined by Title IX. </w:t>
            </w:r>
            <w:r>
              <w:rPr>
                <w:rFonts w:ascii="Times New Roman" w:hAnsi="Times New Roman"/>
                <w:b/>
                <w:bCs/>
                <w:color w:val="000000" w:themeColor="text1"/>
                <w:sz w:val="20"/>
                <w:szCs w:val="20"/>
              </w:rPr>
              <w:t>(Required)</w:t>
            </w:r>
          </w:p>
        </w:tc>
        <w:tc>
          <w:tcPr>
            <w:tcW w:w="2700" w:type="dxa"/>
          </w:tcPr>
          <w:p w14:paraId="434D0A6D" w14:textId="77777777"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Title IX of the Education Amendments Act of 1972;</w:t>
            </w:r>
          </w:p>
          <w:p w14:paraId="79BC8AAB" w14:textId="7D95D927" w:rsidR="005A7FEF" w:rsidRPr="00B549A5" w:rsidRDefault="005A7FEF" w:rsidP="005A7FEF">
            <w:pPr>
              <w:rPr>
                <w:rFonts w:ascii="Times New Roman" w:hAnsi="Times New Roman"/>
                <w:color w:val="FF0000"/>
                <w:sz w:val="20"/>
                <w:szCs w:val="20"/>
              </w:rPr>
            </w:pPr>
            <w:r>
              <w:rPr>
                <w:rFonts w:ascii="Times New Roman" w:hAnsi="Times New Roman"/>
                <w:color w:val="000000" w:themeColor="text1"/>
                <w:sz w:val="20"/>
                <w:szCs w:val="20"/>
              </w:rPr>
              <w:t>34 C.F.R Part 106</w:t>
            </w:r>
          </w:p>
        </w:tc>
        <w:tc>
          <w:tcPr>
            <w:tcW w:w="5310" w:type="dxa"/>
          </w:tcPr>
          <w:p w14:paraId="5120B86F" w14:textId="587FB62D" w:rsidR="005A7FEF" w:rsidRPr="00B549A5" w:rsidRDefault="005A7FEF" w:rsidP="005A7FEF">
            <w:pPr>
              <w:rPr>
                <w:rFonts w:ascii="Times New Roman" w:hAnsi="Times New Roman"/>
                <w:color w:val="FF0000"/>
                <w:sz w:val="20"/>
                <w:szCs w:val="20"/>
              </w:rPr>
            </w:pPr>
            <w:r w:rsidRPr="004A3E2A">
              <w:rPr>
                <w:rFonts w:ascii="Times New Roman" w:hAnsi="Times New Roman"/>
                <w:color w:val="000000" w:themeColor="text1"/>
                <w:sz w:val="20"/>
                <w:szCs w:val="20"/>
              </w:rPr>
              <w:t xml:space="preserve">This policy is required to comply with the board’s obligation not to discriminate on the basis of sex. It </w:t>
            </w:r>
            <w:r w:rsidR="00DF2A8D">
              <w:rPr>
                <w:rFonts w:ascii="Times New Roman" w:hAnsi="Times New Roman"/>
                <w:color w:val="000000" w:themeColor="text1"/>
                <w:sz w:val="20"/>
                <w:szCs w:val="20"/>
              </w:rPr>
              <w:t xml:space="preserve">specifically prohibits sexual harassment and </w:t>
            </w:r>
            <w:r w:rsidRPr="004A3E2A">
              <w:rPr>
                <w:rFonts w:ascii="Times New Roman" w:hAnsi="Times New Roman"/>
                <w:color w:val="000000" w:themeColor="text1"/>
                <w:sz w:val="20"/>
                <w:szCs w:val="20"/>
              </w:rPr>
              <w:t>provides a reporting process and mandatory response protocol to meet the requirements of federal law as set out in the new Title IX regulations.</w:t>
            </w:r>
          </w:p>
        </w:tc>
      </w:tr>
      <w:tr w:rsidR="000F67B5" w:rsidRPr="00B549A5" w14:paraId="605CD282" w14:textId="77777777" w:rsidTr="000F67B5">
        <w:tc>
          <w:tcPr>
            <w:tcW w:w="1800" w:type="dxa"/>
          </w:tcPr>
          <w:p w14:paraId="21426A8F" w14:textId="240783FF" w:rsidR="000F67B5" w:rsidRDefault="000F67B5" w:rsidP="005A7FEF">
            <w:pPr>
              <w:rPr>
                <w:rFonts w:ascii="Times New Roman" w:hAnsi="Times New Roman"/>
                <w:color w:val="000000" w:themeColor="text1"/>
                <w:sz w:val="20"/>
                <w:szCs w:val="20"/>
              </w:rPr>
            </w:pPr>
            <w:r>
              <w:rPr>
                <w:rFonts w:ascii="Times New Roman" w:hAnsi="Times New Roman"/>
                <w:color w:val="000000" w:themeColor="text1"/>
                <w:sz w:val="20"/>
                <w:szCs w:val="20"/>
              </w:rPr>
              <w:t>1725/4035/7236-R</w:t>
            </w:r>
          </w:p>
        </w:tc>
        <w:tc>
          <w:tcPr>
            <w:tcW w:w="1800" w:type="dxa"/>
          </w:tcPr>
          <w:p w14:paraId="0BFEA0F5" w14:textId="79ADB1A8" w:rsidR="000F67B5" w:rsidRDefault="000F67B5" w:rsidP="005A7FEF">
            <w:pPr>
              <w:rPr>
                <w:rFonts w:ascii="Times New Roman" w:hAnsi="Times New Roman"/>
                <w:color w:val="000000" w:themeColor="text1"/>
                <w:sz w:val="20"/>
                <w:szCs w:val="20"/>
              </w:rPr>
            </w:pPr>
            <w:r>
              <w:rPr>
                <w:rFonts w:ascii="Times New Roman" w:hAnsi="Times New Roman"/>
                <w:color w:val="000000" w:themeColor="text1"/>
                <w:sz w:val="20"/>
                <w:szCs w:val="20"/>
              </w:rPr>
              <w:t>Title IX Sexual Harassment – Definitions</w:t>
            </w:r>
          </w:p>
        </w:tc>
        <w:tc>
          <w:tcPr>
            <w:tcW w:w="2880" w:type="dxa"/>
          </w:tcPr>
          <w:p w14:paraId="4271828A" w14:textId="517024DC" w:rsidR="000F67B5" w:rsidRDefault="000F67B5"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This is a complimentary administrative regulation needed to provide definitions for certain forms of sexual harassment prohibited by </w:t>
            </w:r>
            <w:r>
              <w:rPr>
                <w:rFonts w:ascii="Times New Roman" w:hAnsi="Times New Roman"/>
                <w:color w:val="000000" w:themeColor="text1"/>
                <w:sz w:val="20"/>
                <w:szCs w:val="20"/>
              </w:rPr>
              <w:lastRenderedPageBreak/>
              <w:t xml:space="preserve">policy 1725/4035/7236. </w:t>
            </w:r>
            <w:r w:rsidRPr="000F67B5">
              <w:rPr>
                <w:rFonts w:ascii="Times New Roman" w:hAnsi="Times New Roman"/>
                <w:b/>
                <w:bCs/>
                <w:color w:val="000000" w:themeColor="text1"/>
                <w:sz w:val="20"/>
                <w:szCs w:val="20"/>
              </w:rPr>
              <w:t>(optional – see note</w:t>
            </w:r>
            <w:r w:rsidR="00954320">
              <w:rPr>
                <w:rFonts w:ascii="Times New Roman" w:hAnsi="Times New Roman"/>
                <w:b/>
                <w:bCs/>
                <w:color w:val="000000" w:themeColor="text1"/>
                <w:sz w:val="20"/>
                <w:szCs w:val="20"/>
              </w:rPr>
              <w:t>)</w:t>
            </w:r>
          </w:p>
        </w:tc>
        <w:tc>
          <w:tcPr>
            <w:tcW w:w="2700" w:type="dxa"/>
          </w:tcPr>
          <w:p w14:paraId="6A93A425" w14:textId="77777777" w:rsidR="002224CD" w:rsidRDefault="002224CD" w:rsidP="002224CD">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Title IX of the Education Amendments Act of 1972;</w:t>
            </w:r>
          </w:p>
          <w:p w14:paraId="17A9B011" w14:textId="3D0D1CB9" w:rsidR="000F67B5" w:rsidRDefault="002224CD" w:rsidP="002224CD">
            <w:pPr>
              <w:rPr>
                <w:rFonts w:ascii="Times New Roman" w:hAnsi="Times New Roman"/>
                <w:color w:val="000000" w:themeColor="text1"/>
                <w:sz w:val="20"/>
                <w:szCs w:val="20"/>
              </w:rPr>
            </w:pPr>
            <w:r>
              <w:rPr>
                <w:rFonts w:ascii="Times New Roman" w:hAnsi="Times New Roman"/>
                <w:color w:val="000000" w:themeColor="text1"/>
                <w:sz w:val="20"/>
                <w:szCs w:val="20"/>
              </w:rPr>
              <w:t>34 C.F.R Part 106</w:t>
            </w:r>
          </w:p>
        </w:tc>
        <w:tc>
          <w:tcPr>
            <w:tcW w:w="5310" w:type="dxa"/>
          </w:tcPr>
          <w:p w14:paraId="7614B152" w14:textId="77777777" w:rsidR="000F67B5" w:rsidRDefault="002224CD" w:rsidP="005A7FEF">
            <w:pPr>
              <w:pStyle w:val="FootnoteText"/>
            </w:pPr>
            <w:r>
              <w:t>Alternatively, t</w:t>
            </w:r>
            <w:r w:rsidR="000F67B5">
              <w:t>he definitions in this administrative regulation could be moved to the body of the policy itself</w:t>
            </w:r>
            <w:r>
              <w:t>.</w:t>
            </w:r>
          </w:p>
          <w:p w14:paraId="3D6CBF51" w14:textId="77777777" w:rsidR="007E4F0C" w:rsidRDefault="007E4F0C" w:rsidP="005A7FEF">
            <w:pPr>
              <w:pStyle w:val="FootnoteText"/>
            </w:pPr>
          </w:p>
          <w:p w14:paraId="63D43E09" w14:textId="71391AAE" w:rsidR="007E4F0C" w:rsidRDefault="007E4F0C" w:rsidP="005A7FEF">
            <w:pPr>
              <w:pStyle w:val="FootnoteText"/>
            </w:pPr>
            <w:r>
              <w:t>The information in red italic font is informational only and should be removed prior to use by the school system.</w:t>
            </w:r>
          </w:p>
        </w:tc>
      </w:tr>
      <w:tr w:rsidR="005A7FEF" w:rsidRPr="00B549A5" w14:paraId="69A55075" w14:textId="77777777" w:rsidTr="000F67B5">
        <w:tc>
          <w:tcPr>
            <w:tcW w:w="1800" w:type="dxa"/>
          </w:tcPr>
          <w:p w14:paraId="76A5AD58" w14:textId="5BB30B6E"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1726/4036/7237 (New)</w:t>
            </w:r>
          </w:p>
        </w:tc>
        <w:tc>
          <w:tcPr>
            <w:tcW w:w="1800" w:type="dxa"/>
          </w:tcPr>
          <w:p w14:paraId="4CF7EE7F" w14:textId="57E9EA14"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Title IX Sexual Harassment Grievance Process</w:t>
            </w:r>
          </w:p>
        </w:tc>
        <w:tc>
          <w:tcPr>
            <w:tcW w:w="2880" w:type="dxa"/>
          </w:tcPr>
          <w:p w14:paraId="5E855CC5" w14:textId="6201F459" w:rsidR="005A7FEF" w:rsidRPr="00B549A5"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This new policy supersedes policy 1720/4015/7225,</w:t>
            </w:r>
            <w:r w:rsidRPr="000F115B">
              <w:rPr>
                <w:rFonts w:ascii="Times New Roman" w:hAnsi="Times New Roman"/>
                <w:color w:val="000000" w:themeColor="text1"/>
                <w:sz w:val="20"/>
                <w:szCs w:val="20"/>
              </w:rPr>
              <w:t xml:space="preserve"> Discrimination, Harassment, and Bullying Complaint Procedure</w:t>
            </w:r>
            <w:r>
              <w:rPr>
                <w:rFonts w:ascii="Times New Roman" w:hAnsi="Times New Roman"/>
                <w:color w:val="000000" w:themeColor="text1"/>
                <w:sz w:val="20"/>
                <w:szCs w:val="20"/>
              </w:rPr>
              <w:t xml:space="preserve">, in part. </w:t>
            </w:r>
            <w:r>
              <w:rPr>
                <w:rFonts w:ascii="Times New Roman" w:hAnsi="Times New Roman"/>
                <w:b/>
                <w:bCs/>
                <w:color w:val="000000" w:themeColor="text1"/>
                <w:sz w:val="20"/>
                <w:szCs w:val="20"/>
              </w:rPr>
              <w:t>(Required)</w:t>
            </w:r>
          </w:p>
        </w:tc>
        <w:tc>
          <w:tcPr>
            <w:tcW w:w="2700" w:type="dxa"/>
          </w:tcPr>
          <w:p w14:paraId="78B89A09" w14:textId="77777777"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Title IX of the Education Amendments Act of 1972;</w:t>
            </w:r>
          </w:p>
          <w:p w14:paraId="3D44DB37" w14:textId="5CFA48A0"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34 C.F.R Part 106</w:t>
            </w:r>
          </w:p>
        </w:tc>
        <w:tc>
          <w:tcPr>
            <w:tcW w:w="5310" w:type="dxa"/>
          </w:tcPr>
          <w:p w14:paraId="159AAB2B" w14:textId="4ACE0C99" w:rsidR="005A7FEF" w:rsidRPr="00B549A5" w:rsidRDefault="005A7FEF" w:rsidP="005A7FEF">
            <w:pPr>
              <w:pStyle w:val="FootnoteText"/>
            </w:pPr>
            <w:r>
              <w:t xml:space="preserve">This policy provides a grievance process for resolving formal complaints of sexual harassment in a manner that complies with the requirements of federal law as set out in the new Title IX regulations. </w:t>
            </w:r>
          </w:p>
        </w:tc>
      </w:tr>
      <w:tr w:rsidR="005A7FEF" w:rsidRPr="00B549A5" w14:paraId="4FB739DA" w14:textId="77777777" w:rsidTr="000F67B5">
        <w:tc>
          <w:tcPr>
            <w:tcW w:w="1800" w:type="dxa"/>
          </w:tcPr>
          <w:p w14:paraId="4D5C5EB1" w14:textId="1ECFA44C"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1730/4022/7231</w:t>
            </w:r>
          </w:p>
        </w:tc>
        <w:tc>
          <w:tcPr>
            <w:tcW w:w="1800" w:type="dxa"/>
          </w:tcPr>
          <w:p w14:paraId="6BA98311" w14:textId="1EDEBE6B"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Nondiscrimination on the Basis of Disabilities</w:t>
            </w:r>
          </w:p>
        </w:tc>
        <w:tc>
          <w:tcPr>
            <w:tcW w:w="2880" w:type="dxa"/>
          </w:tcPr>
          <w:p w14:paraId="5C5A7C99" w14:textId="4FA7121F" w:rsidR="005A7FEF"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Updates the policy referenced in paragraph #5 to refer to the appropriate new policy. </w:t>
            </w:r>
            <w:r>
              <w:rPr>
                <w:rFonts w:ascii="Times New Roman" w:hAnsi="Times New Roman"/>
                <w:b/>
                <w:bCs/>
                <w:color w:val="000000" w:themeColor="text1"/>
                <w:sz w:val="20"/>
                <w:szCs w:val="20"/>
              </w:rPr>
              <w:t>(Required)</w:t>
            </w:r>
          </w:p>
          <w:p w14:paraId="61160A0D" w14:textId="68E77021" w:rsidR="005A7FEF" w:rsidRPr="009E6F77" w:rsidRDefault="005A7FEF" w:rsidP="009E6F77">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Updates the cross references. </w:t>
            </w:r>
            <w:r>
              <w:rPr>
                <w:rFonts w:ascii="Times New Roman" w:hAnsi="Times New Roman"/>
                <w:b/>
                <w:bCs/>
                <w:color w:val="000000" w:themeColor="text1"/>
                <w:sz w:val="20"/>
                <w:szCs w:val="20"/>
              </w:rPr>
              <w:t>(Required)</w:t>
            </w:r>
          </w:p>
        </w:tc>
        <w:tc>
          <w:tcPr>
            <w:tcW w:w="2700" w:type="dxa"/>
          </w:tcPr>
          <w:p w14:paraId="4B24D5D9" w14:textId="37DB2AE3" w:rsidR="005A7FEF" w:rsidRDefault="005A7FEF" w:rsidP="005A7FEF">
            <w:pPr>
              <w:pStyle w:val="CommentText"/>
              <w:rPr>
                <w:rFonts w:ascii="Times New Roman" w:hAnsi="Times New Roman"/>
              </w:rPr>
            </w:pPr>
            <w:r>
              <w:rPr>
                <w:rFonts w:ascii="Times New Roman" w:hAnsi="Times New Roman"/>
              </w:rPr>
              <w:t xml:space="preserve">Section 504 of the Rehabilitation Act; </w:t>
            </w:r>
          </w:p>
          <w:p w14:paraId="258C7DB3" w14:textId="07246536" w:rsidR="005A7FEF" w:rsidRPr="00B549A5" w:rsidRDefault="005A7FEF" w:rsidP="005A7FEF">
            <w:pPr>
              <w:pStyle w:val="CommentText"/>
              <w:rPr>
                <w:rFonts w:ascii="Times New Roman" w:hAnsi="Times New Roman"/>
              </w:rPr>
            </w:pPr>
            <w:r>
              <w:rPr>
                <w:rFonts w:ascii="Times New Roman" w:hAnsi="Times New Roman"/>
                <w:iCs/>
                <w:color w:val="000000" w:themeColor="text1"/>
              </w:rPr>
              <w:t xml:space="preserve">Americans with Disabilities Act </w:t>
            </w:r>
          </w:p>
        </w:tc>
        <w:tc>
          <w:tcPr>
            <w:tcW w:w="5310" w:type="dxa"/>
          </w:tcPr>
          <w:p w14:paraId="19BF01DD" w14:textId="77777777" w:rsidR="005A7FEF" w:rsidRDefault="005A7FEF" w:rsidP="005A7FEF">
            <w:pPr>
              <w:rPr>
                <w:rFonts w:ascii="Times New Roman" w:hAnsi="Times New Roman"/>
                <w:color w:val="000000" w:themeColor="text1"/>
                <w:sz w:val="20"/>
                <w:szCs w:val="20"/>
              </w:rPr>
            </w:pPr>
          </w:p>
        </w:tc>
      </w:tr>
      <w:tr w:rsidR="005A7FEF" w:rsidRPr="00B549A5" w14:paraId="34C48F91" w14:textId="77777777" w:rsidTr="000F67B5">
        <w:tc>
          <w:tcPr>
            <w:tcW w:w="1800" w:type="dxa"/>
          </w:tcPr>
          <w:p w14:paraId="12883501" w14:textId="6276AACB"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4040/7310</w:t>
            </w:r>
          </w:p>
        </w:tc>
        <w:tc>
          <w:tcPr>
            <w:tcW w:w="1800" w:type="dxa"/>
          </w:tcPr>
          <w:p w14:paraId="0E662C74" w14:textId="7D831D16"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Staff-Student Relations</w:t>
            </w:r>
          </w:p>
        </w:tc>
        <w:tc>
          <w:tcPr>
            <w:tcW w:w="2880" w:type="dxa"/>
          </w:tcPr>
          <w:p w14:paraId="6F4FA23D" w14:textId="70A89159" w:rsidR="005A7FEF"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Updates the policy referenced in subsection C.2 to refer to the appropriate new policy. </w:t>
            </w:r>
            <w:r>
              <w:rPr>
                <w:rFonts w:ascii="Times New Roman" w:hAnsi="Times New Roman"/>
                <w:b/>
                <w:bCs/>
                <w:color w:val="000000" w:themeColor="text1"/>
                <w:sz w:val="20"/>
                <w:szCs w:val="20"/>
              </w:rPr>
              <w:t>(Required)</w:t>
            </w:r>
          </w:p>
          <w:p w14:paraId="00C408E4" w14:textId="121E3213" w:rsidR="005A7FEF" w:rsidRPr="00B549A5"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Updates the cross references. </w:t>
            </w:r>
            <w:r>
              <w:rPr>
                <w:rFonts w:ascii="Times New Roman" w:hAnsi="Times New Roman"/>
                <w:b/>
                <w:bCs/>
                <w:color w:val="000000" w:themeColor="text1"/>
                <w:sz w:val="20"/>
                <w:szCs w:val="20"/>
              </w:rPr>
              <w:t>(Required)</w:t>
            </w:r>
          </w:p>
        </w:tc>
        <w:tc>
          <w:tcPr>
            <w:tcW w:w="2700" w:type="dxa"/>
          </w:tcPr>
          <w:p w14:paraId="7B95CB22" w14:textId="77777777" w:rsidR="005A7FEF" w:rsidRPr="00B549A5" w:rsidRDefault="005A7FEF" w:rsidP="005A7FEF">
            <w:pPr>
              <w:pStyle w:val="CommentText"/>
              <w:rPr>
                <w:rFonts w:ascii="Times New Roman" w:hAnsi="Times New Roman"/>
              </w:rPr>
            </w:pPr>
          </w:p>
        </w:tc>
        <w:tc>
          <w:tcPr>
            <w:tcW w:w="5310" w:type="dxa"/>
          </w:tcPr>
          <w:p w14:paraId="3C9ED7AB" w14:textId="77777777" w:rsidR="005A7FEF" w:rsidRDefault="005A7FEF" w:rsidP="005A7FEF">
            <w:pPr>
              <w:rPr>
                <w:rFonts w:ascii="Times New Roman" w:hAnsi="Times New Roman"/>
                <w:color w:val="000000" w:themeColor="text1"/>
                <w:sz w:val="20"/>
                <w:szCs w:val="20"/>
              </w:rPr>
            </w:pPr>
          </w:p>
        </w:tc>
      </w:tr>
      <w:tr w:rsidR="005A7FEF" w:rsidRPr="00B549A5" w14:paraId="65A7D82C" w14:textId="77777777" w:rsidTr="000F67B5">
        <w:tc>
          <w:tcPr>
            <w:tcW w:w="1800" w:type="dxa"/>
          </w:tcPr>
          <w:p w14:paraId="060C8F6B" w14:textId="5B152522"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4329/7311 (New)</w:t>
            </w:r>
          </w:p>
        </w:tc>
        <w:tc>
          <w:tcPr>
            <w:tcW w:w="1800" w:type="dxa"/>
          </w:tcPr>
          <w:p w14:paraId="2AE6B977" w14:textId="3B37AA02"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Bullying and Harassing Behavior Prohibited</w:t>
            </w:r>
          </w:p>
        </w:tc>
        <w:tc>
          <w:tcPr>
            <w:tcW w:w="2880" w:type="dxa"/>
          </w:tcPr>
          <w:p w14:paraId="7065C98B" w14:textId="75276532" w:rsidR="005A7FEF" w:rsidRPr="00B549A5"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This new policy supersedes policy 1710/4021/7230, </w:t>
            </w:r>
            <w:r w:rsidRPr="000F115B">
              <w:rPr>
                <w:rFonts w:ascii="Times New Roman" w:hAnsi="Times New Roman"/>
                <w:color w:val="000000" w:themeColor="text1"/>
                <w:sz w:val="20"/>
                <w:szCs w:val="20"/>
              </w:rPr>
              <w:t>Prohibition Against Discrimination, Harassment, and Bullying</w:t>
            </w:r>
            <w:r>
              <w:rPr>
                <w:rFonts w:ascii="Times New Roman" w:hAnsi="Times New Roman"/>
                <w:color w:val="000000" w:themeColor="text1"/>
                <w:sz w:val="20"/>
                <w:szCs w:val="20"/>
              </w:rPr>
              <w:t>, in part; and policy 1720/4015/7225,</w:t>
            </w:r>
            <w:r w:rsidRPr="000F115B">
              <w:rPr>
                <w:rFonts w:ascii="Times New Roman" w:hAnsi="Times New Roman"/>
                <w:color w:val="000000" w:themeColor="text1"/>
                <w:sz w:val="20"/>
                <w:szCs w:val="20"/>
              </w:rPr>
              <w:t xml:space="preserve"> Discrimination, Harassment, and Bullying Complaint Procedure</w:t>
            </w:r>
            <w:r>
              <w:rPr>
                <w:rFonts w:ascii="Times New Roman" w:hAnsi="Times New Roman"/>
                <w:color w:val="000000" w:themeColor="text1"/>
                <w:sz w:val="20"/>
                <w:szCs w:val="20"/>
              </w:rPr>
              <w:t>, in part.</w:t>
            </w:r>
            <w:r w:rsidR="00873B15">
              <w:rPr>
                <w:rFonts w:ascii="Times New Roman" w:hAnsi="Times New Roman"/>
                <w:color w:val="000000" w:themeColor="text1"/>
                <w:sz w:val="20"/>
                <w:szCs w:val="20"/>
              </w:rPr>
              <w:t xml:space="preserve"> </w:t>
            </w:r>
            <w:r w:rsidR="00873B15">
              <w:rPr>
                <w:rFonts w:ascii="Times New Roman" w:hAnsi="Times New Roman"/>
                <w:b/>
                <w:bCs/>
                <w:color w:val="000000" w:themeColor="text1"/>
                <w:sz w:val="20"/>
                <w:szCs w:val="20"/>
              </w:rPr>
              <w:t>(Required)</w:t>
            </w:r>
          </w:p>
        </w:tc>
        <w:tc>
          <w:tcPr>
            <w:tcW w:w="2700" w:type="dxa"/>
          </w:tcPr>
          <w:p w14:paraId="0BF1C5FF" w14:textId="0AA17574" w:rsidR="005A7FEF" w:rsidRPr="00B549A5" w:rsidRDefault="005A7FEF" w:rsidP="005A7FEF">
            <w:pPr>
              <w:pStyle w:val="CommentText"/>
              <w:rPr>
                <w:rFonts w:ascii="Times New Roman" w:hAnsi="Times New Roman"/>
              </w:rPr>
            </w:pPr>
            <w:r>
              <w:rPr>
                <w:rFonts w:ascii="Times New Roman" w:hAnsi="Times New Roman"/>
              </w:rPr>
              <w:t>G.S. 115C-407.15-407.18</w:t>
            </w:r>
          </w:p>
        </w:tc>
        <w:tc>
          <w:tcPr>
            <w:tcW w:w="5310" w:type="dxa"/>
          </w:tcPr>
          <w:p w14:paraId="55457BB6" w14:textId="618FB4AC"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 xml:space="preserve">This policy satisfies the board’s obligation under G.S. 115C-407.16 to have a policy prohibiting bullying and harassing behavior.  Some conduct under this policy overlaps with conduct prohibited by federal law.  In such circumstances, school officials must first evaluate the conduct under the more specific policies that address federal law before applying this policy. </w:t>
            </w:r>
          </w:p>
        </w:tc>
      </w:tr>
      <w:tr w:rsidR="005A7FEF" w:rsidRPr="00B549A5" w14:paraId="1A443C21" w14:textId="77777777" w:rsidTr="000F67B5">
        <w:tc>
          <w:tcPr>
            <w:tcW w:w="1800" w:type="dxa"/>
          </w:tcPr>
          <w:p w14:paraId="017A958B" w14:textId="1C0764CF"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4331</w:t>
            </w:r>
          </w:p>
        </w:tc>
        <w:tc>
          <w:tcPr>
            <w:tcW w:w="1800" w:type="dxa"/>
          </w:tcPr>
          <w:p w14:paraId="56C7A5E6" w14:textId="62B31464"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 xml:space="preserve">Assaults, </w:t>
            </w:r>
            <w:r w:rsidRPr="009A4921">
              <w:rPr>
                <w:rFonts w:ascii="Times New Roman" w:hAnsi="Times New Roman"/>
                <w:color w:val="000000" w:themeColor="text1"/>
                <w:sz w:val="20"/>
                <w:szCs w:val="20"/>
                <w:u w:val="single"/>
              </w:rPr>
              <w:t xml:space="preserve">and </w:t>
            </w:r>
            <w:r>
              <w:rPr>
                <w:rFonts w:ascii="Times New Roman" w:hAnsi="Times New Roman"/>
                <w:color w:val="000000" w:themeColor="text1"/>
                <w:sz w:val="20"/>
                <w:szCs w:val="20"/>
              </w:rPr>
              <w:t>Threats</w:t>
            </w:r>
            <w:r w:rsidRPr="009A4921">
              <w:rPr>
                <w:rFonts w:ascii="Times New Roman" w:hAnsi="Times New Roman"/>
                <w:strike/>
                <w:color w:val="000000" w:themeColor="text1"/>
                <w:sz w:val="20"/>
                <w:szCs w:val="20"/>
              </w:rPr>
              <w:t>, and Harassment</w:t>
            </w:r>
          </w:p>
        </w:tc>
        <w:tc>
          <w:tcPr>
            <w:tcW w:w="2880" w:type="dxa"/>
          </w:tcPr>
          <w:p w14:paraId="6C2EEE19" w14:textId="654B50F9" w:rsidR="005A7FEF" w:rsidRPr="006D3409"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This policy has been updated to remove harassment and cyberbullying provisions because those topics are more thoroughly addressed in new board policies. </w:t>
            </w:r>
            <w:r w:rsidRPr="001714D6">
              <w:rPr>
                <w:rFonts w:ascii="Times New Roman" w:hAnsi="Times New Roman"/>
                <w:b/>
                <w:bCs/>
                <w:color w:val="000000" w:themeColor="text1"/>
                <w:sz w:val="20"/>
                <w:szCs w:val="20"/>
              </w:rPr>
              <w:t>(Recommended)</w:t>
            </w:r>
          </w:p>
          <w:p w14:paraId="7FBF5316" w14:textId="194529A5" w:rsidR="00BC66B3" w:rsidRPr="00BC66B3" w:rsidRDefault="00BC66B3"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Updates the legal references.  </w:t>
            </w:r>
            <w:r>
              <w:rPr>
                <w:rFonts w:ascii="Times New Roman" w:hAnsi="Times New Roman"/>
                <w:b/>
                <w:bCs/>
                <w:color w:val="000000" w:themeColor="text1"/>
                <w:sz w:val="20"/>
                <w:szCs w:val="20"/>
              </w:rPr>
              <w:t>(Required)</w:t>
            </w:r>
          </w:p>
          <w:p w14:paraId="44344F6F" w14:textId="5686783B" w:rsidR="005A7FEF" w:rsidRPr="006D3409" w:rsidRDefault="005A7FEF" w:rsidP="005A7FEF">
            <w:pPr>
              <w:pStyle w:val="ColorfulList-Accent11"/>
              <w:numPr>
                <w:ilvl w:val="0"/>
                <w:numId w:val="20"/>
              </w:numPr>
              <w:ind w:left="246" w:hanging="270"/>
              <w:rPr>
                <w:rFonts w:ascii="Times New Roman" w:hAnsi="Times New Roman"/>
                <w:color w:val="000000" w:themeColor="text1"/>
                <w:sz w:val="20"/>
                <w:szCs w:val="20"/>
              </w:rPr>
            </w:pPr>
            <w:r w:rsidRPr="006D3409">
              <w:rPr>
                <w:rFonts w:ascii="Times New Roman" w:hAnsi="Times New Roman"/>
                <w:color w:val="000000" w:themeColor="text1"/>
                <w:sz w:val="20"/>
                <w:szCs w:val="20"/>
              </w:rPr>
              <w:t xml:space="preserve">Updates the cross references. </w:t>
            </w:r>
            <w:r>
              <w:rPr>
                <w:rFonts w:ascii="Times New Roman" w:hAnsi="Times New Roman"/>
                <w:b/>
                <w:bCs/>
                <w:color w:val="000000" w:themeColor="text1"/>
                <w:sz w:val="20"/>
                <w:szCs w:val="20"/>
              </w:rPr>
              <w:t>(Required)</w:t>
            </w:r>
          </w:p>
        </w:tc>
        <w:tc>
          <w:tcPr>
            <w:tcW w:w="2700" w:type="dxa"/>
          </w:tcPr>
          <w:p w14:paraId="25D82354" w14:textId="77777777" w:rsidR="005A7FEF" w:rsidRPr="00B13822" w:rsidRDefault="005A7FEF" w:rsidP="005A7FEF">
            <w:pPr>
              <w:pStyle w:val="CommentText"/>
              <w:rPr>
                <w:rFonts w:ascii="Times New Roman" w:hAnsi="Times New Roman"/>
              </w:rPr>
            </w:pPr>
          </w:p>
        </w:tc>
        <w:tc>
          <w:tcPr>
            <w:tcW w:w="5310" w:type="dxa"/>
          </w:tcPr>
          <w:p w14:paraId="6FD0045C" w14:textId="77777777" w:rsidR="005A7FEF" w:rsidRDefault="005A7FEF" w:rsidP="005A7FEF">
            <w:pPr>
              <w:rPr>
                <w:rFonts w:ascii="Times New Roman" w:hAnsi="Times New Roman"/>
                <w:color w:val="000000" w:themeColor="text1"/>
                <w:sz w:val="20"/>
                <w:szCs w:val="20"/>
              </w:rPr>
            </w:pPr>
          </w:p>
        </w:tc>
      </w:tr>
      <w:tr w:rsidR="005A7FEF" w:rsidRPr="00B549A5" w14:paraId="113B8ECA" w14:textId="77777777" w:rsidTr="000F67B5">
        <w:tc>
          <w:tcPr>
            <w:tcW w:w="1800" w:type="dxa"/>
          </w:tcPr>
          <w:p w14:paraId="4199D80C" w14:textId="5D8345C1" w:rsidR="005A7FEF"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4340</w:t>
            </w:r>
          </w:p>
        </w:tc>
        <w:tc>
          <w:tcPr>
            <w:tcW w:w="1800" w:type="dxa"/>
          </w:tcPr>
          <w:p w14:paraId="46020DA4" w14:textId="1E0989D9"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School-Level Investigations</w:t>
            </w:r>
          </w:p>
        </w:tc>
        <w:tc>
          <w:tcPr>
            <w:tcW w:w="2880" w:type="dxa"/>
          </w:tcPr>
          <w:p w14:paraId="0E315D7E" w14:textId="37837089" w:rsidR="005A7FEF" w:rsidRDefault="005A7FEF" w:rsidP="005A7FEF">
            <w:pPr>
              <w:pStyle w:val="ColorfulList-Accent11"/>
              <w:ind w:left="0"/>
              <w:rPr>
                <w:rFonts w:ascii="Times New Roman" w:hAnsi="Times New Roman"/>
                <w:color w:val="000000" w:themeColor="text1"/>
                <w:sz w:val="20"/>
                <w:szCs w:val="20"/>
              </w:rPr>
            </w:pPr>
            <w:r>
              <w:rPr>
                <w:rFonts w:ascii="Times New Roman" w:hAnsi="Times New Roman"/>
                <w:color w:val="000000" w:themeColor="text1"/>
                <w:sz w:val="20"/>
                <w:szCs w:val="20"/>
              </w:rPr>
              <w:t>This policy has been updated to make changes necessary to be consistent with new Title IX policies, including:</w:t>
            </w:r>
          </w:p>
          <w:p w14:paraId="43F7337A" w14:textId="3A50641A" w:rsidR="005A7FEF"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Modifies the first paragraph to be consistent with policies that assign the senior human resources official or others to investigate certain matters. </w:t>
            </w:r>
            <w:r>
              <w:rPr>
                <w:rFonts w:ascii="Times New Roman" w:hAnsi="Times New Roman"/>
                <w:b/>
                <w:bCs/>
                <w:color w:val="000000" w:themeColor="text1"/>
                <w:sz w:val="20"/>
                <w:szCs w:val="20"/>
              </w:rPr>
              <w:t>(Recommended)</w:t>
            </w:r>
          </w:p>
          <w:p w14:paraId="1664521E" w14:textId="123B7CB0" w:rsidR="005A7FEF"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Adds possibility of disciplinary consequences for making false statements during an investigation. </w:t>
            </w:r>
            <w:r>
              <w:rPr>
                <w:rFonts w:ascii="Times New Roman" w:hAnsi="Times New Roman"/>
                <w:b/>
                <w:bCs/>
                <w:color w:val="000000" w:themeColor="text1"/>
                <w:sz w:val="20"/>
                <w:szCs w:val="20"/>
              </w:rPr>
              <w:t>(Recommended)</w:t>
            </w:r>
          </w:p>
          <w:p w14:paraId="6A77F587" w14:textId="5EE9B250" w:rsidR="005A7FEF"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 xml:space="preserve">Provides an exception to the investigative process steps where other policies require a more specific response. </w:t>
            </w:r>
            <w:r>
              <w:rPr>
                <w:rFonts w:ascii="Times New Roman" w:hAnsi="Times New Roman"/>
                <w:b/>
                <w:bCs/>
                <w:color w:val="000000" w:themeColor="text1"/>
                <w:sz w:val="20"/>
                <w:szCs w:val="20"/>
              </w:rPr>
              <w:t>(Recommended)</w:t>
            </w:r>
          </w:p>
          <w:p w14:paraId="57D218C7" w14:textId="3F489B20" w:rsidR="005A7FEF" w:rsidRPr="006D3409" w:rsidRDefault="005A7FEF" w:rsidP="005A7FEF">
            <w:pPr>
              <w:pStyle w:val="ColorfulList-Accent11"/>
              <w:ind w:left="246"/>
              <w:rPr>
                <w:rFonts w:ascii="Times New Roman" w:hAnsi="Times New Roman"/>
                <w:color w:val="000000" w:themeColor="text1"/>
                <w:sz w:val="20"/>
                <w:szCs w:val="20"/>
              </w:rPr>
            </w:pPr>
          </w:p>
        </w:tc>
        <w:tc>
          <w:tcPr>
            <w:tcW w:w="2700" w:type="dxa"/>
          </w:tcPr>
          <w:p w14:paraId="320D8015" w14:textId="77777777" w:rsidR="005A7FEF" w:rsidRPr="00B13822" w:rsidRDefault="005A7FEF" w:rsidP="005A7FEF">
            <w:pPr>
              <w:pStyle w:val="CommentText"/>
              <w:rPr>
                <w:rFonts w:ascii="Times New Roman" w:hAnsi="Times New Roman"/>
              </w:rPr>
            </w:pPr>
          </w:p>
        </w:tc>
        <w:tc>
          <w:tcPr>
            <w:tcW w:w="5310" w:type="dxa"/>
          </w:tcPr>
          <w:p w14:paraId="4AF76DC9" w14:textId="77777777" w:rsidR="005A7FEF" w:rsidRDefault="005A7FEF" w:rsidP="005A7FEF">
            <w:pPr>
              <w:rPr>
                <w:rFonts w:ascii="Times New Roman" w:hAnsi="Times New Roman"/>
                <w:color w:val="000000" w:themeColor="text1"/>
                <w:sz w:val="20"/>
                <w:szCs w:val="20"/>
              </w:rPr>
            </w:pPr>
          </w:p>
        </w:tc>
      </w:tr>
      <w:tr w:rsidR="005A7FEF" w:rsidRPr="00B549A5" w14:paraId="53569B37" w14:textId="77777777" w:rsidTr="000F67B5">
        <w:tc>
          <w:tcPr>
            <w:tcW w:w="1800" w:type="dxa"/>
          </w:tcPr>
          <w:p w14:paraId="354BF77B" w14:textId="2CBED11D"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7232 (New)</w:t>
            </w:r>
          </w:p>
        </w:tc>
        <w:tc>
          <w:tcPr>
            <w:tcW w:w="1800" w:type="dxa"/>
          </w:tcPr>
          <w:p w14:paraId="3E62052C" w14:textId="36617AAE" w:rsidR="005A7FEF" w:rsidRPr="00B549A5" w:rsidRDefault="005A7FEF" w:rsidP="005A7FEF">
            <w:pPr>
              <w:rPr>
                <w:rFonts w:ascii="Times New Roman" w:hAnsi="Times New Roman"/>
                <w:color w:val="000000" w:themeColor="text1"/>
                <w:sz w:val="20"/>
                <w:szCs w:val="20"/>
              </w:rPr>
            </w:pPr>
            <w:r>
              <w:rPr>
                <w:rFonts w:ascii="Times New Roman" w:hAnsi="Times New Roman"/>
                <w:color w:val="000000" w:themeColor="text1"/>
                <w:sz w:val="20"/>
                <w:szCs w:val="20"/>
              </w:rPr>
              <w:t>Discrimination and Harassment in the Workplace</w:t>
            </w:r>
          </w:p>
        </w:tc>
        <w:tc>
          <w:tcPr>
            <w:tcW w:w="2880" w:type="dxa"/>
          </w:tcPr>
          <w:p w14:paraId="516D3A81" w14:textId="5AA6E6BB" w:rsidR="005A7FEF" w:rsidRPr="00B549A5" w:rsidRDefault="005A7FEF" w:rsidP="005A7FEF">
            <w:pPr>
              <w:pStyle w:val="ColorfulList-Accent11"/>
              <w:numPr>
                <w:ilvl w:val="0"/>
                <w:numId w:val="20"/>
              </w:numPr>
              <w:ind w:left="246" w:hanging="270"/>
              <w:rPr>
                <w:rFonts w:ascii="Times New Roman" w:hAnsi="Times New Roman"/>
                <w:color w:val="000000" w:themeColor="text1"/>
                <w:sz w:val="20"/>
                <w:szCs w:val="20"/>
              </w:rPr>
            </w:pPr>
            <w:r>
              <w:rPr>
                <w:rFonts w:ascii="Times New Roman" w:hAnsi="Times New Roman"/>
                <w:color w:val="000000" w:themeColor="text1"/>
                <w:sz w:val="20"/>
                <w:szCs w:val="20"/>
              </w:rPr>
              <w:t>This new policy addresses the board’s obligations to provide a workplace free of harassment and discrimination.  Previously this information was addressed by policies 1710/4021/7230 and 1720/40</w:t>
            </w:r>
            <w:r w:rsidR="00930C79">
              <w:rPr>
                <w:rFonts w:ascii="Times New Roman" w:hAnsi="Times New Roman"/>
                <w:color w:val="000000" w:themeColor="text1"/>
                <w:sz w:val="20"/>
                <w:szCs w:val="20"/>
              </w:rPr>
              <w:t>15</w:t>
            </w:r>
            <w:r>
              <w:rPr>
                <w:rFonts w:ascii="Times New Roman" w:hAnsi="Times New Roman"/>
                <w:color w:val="000000" w:themeColor="text1"/>
                <w:sz w:val="20"/>
                <w:szCs w:val="20"/>
              </w:rPr>
              <w:t>/72</w:t>
            </w:r>
            <w:r w:rsidR="00930C79">
              <w:rPr>
                <w:rFonts w:ascii="Times New Roman" w:hAnsi="Times New Roman"/>
                <w:color w:val="000000" w:themeColor="text1"/>
                <w:sz w:val="20"/>
                <w:szCs w:val="20"/>
              </w:rPr>
              <w:t>2</w:t>
            </w:r>
            <w:r>
              <w:rPr>
                <w:rFonts w:ascii="Times New Roman" w:hAnsi="Times New Roman"/>
                <w:color w:val="000000" w:themeColor="text1"/>
                <w:sz w:val="20"/>
                <w:szCs w:val="20"/>
              </w:rPr>
              <w:t>5.</w:t>
            </w:r>
            <w:r w:rsidR="00E26075">
              <w:rPr>
                <w:rFonts w:ascii="Times New Roman" w:hAnsi="Times New Roman"/>
                <w:color w:val="000000" w:themeColor="text1"/>
                <w:sz w:val="20"/>
                <w:szCs w:val="20"/>
              </w:rPr>
              <w:t xml:space="preserve"> </w:t>
            </w:r>
            <w:r w:rsidR="00E26075">
              <w:rPr>
                <w:rFonts w:ascii="Times New Roman" w:hAnsi="Times New Roman"/>
                <w:b/>
                <w:bCs/>
                <w:color w:val="000000" w:themeColor="text1"/>
                <w:sz w:val="20"/>
                <w:szCs w:val="20"/>
              </w:rPr>
              <w:t>(Required)</w:t>
            </w:r>
          </w:p>
        </w:tc>
        <w:tc>
          <w:tcPr>
            <w:tcW w:w="2700" w:type="dxa"/>
          </w:tcPr>
          <w:p w14:paraId="35DED048" w14:textId="7AD952E9" w:rsidR="005A7FEF" w:rsidRPr="00B549A5" w:rsidRDefault="005A7FEF" w:rsidP="005A7FEF">
            <w:pPr>
              <w:pStyle w:val="CommentText"/>
              <w:rPr>
                <w:rFonts w:ascii="Times New Roman" w:hAnsi="Times New Roman"/>
              </w:rPr>
            </w:pPr>
            <w:r>
              <w:rPr>
                <w:rFonts w:ascii="Times New Roman" w:hAnsi="Times New Roman"/>
              </w:rPr>
              <w:t>Age discrimination in Employment Act; Americans with Disabilities Act; Section 504 of the Rehabilitation Act; Title II of the Genetic Information Nondiscrimination Act; Title VII of the Civil Rights Act of 1964; Uniformed Services Employment and Reemployment Rights Act</w:t>
            </w:r>
          </w:p>
          <w:p w14:paraId="666A58AD" w14:textId="30639FBA" w:rsidR="005A7FEF" w:rsidRPr="00B549A5" w:rsidRDefault="005A7FEF" w:rsidP="005A7FEF">
            <w:pPr>
              <w:pStyle w:val="CommentText"/>
              <w:rPr>
                <w:rFonts w:ascii="Times New Roman" w:hAnsi="Times New Roman"/>
              </w:rPr>
            </w:pPr>
          </w:p>
        </w:tc>
        <w:tc>
          <w:tcPr>
            <w:tcW w:w="5310" w:type="dxa"/>
          </w:tcPr>
          <w:p w14:paraId="18D8E1AE" w14:textId="482EAB66" w:rsidR="005A7FEF" w:rsidRDefault="00DF2A8D" w:rsidP="005A7FEF">
            <w:pPr>
              <w:rPr>
                <w:rFonts w:ascii="Times New Roman" w:hAnsi="Times New Roman"/>
                <w:color w:val="000000" w:themeColor="text1"/>
                <w:sz w:val="20"/>
                <w:szCs w:val="20"/>
              </w:rPr>
            </w:pPr>
            <w:r>
              <w:rPr>
                <w:rFonts w:ascii="Times New Roman" w:hAnsi="Times New Roman"/>
                <w:color w:val="000000" w:themeColor="text1"/>
                <w:sz w:val="20"/>
                <w:szCs w:val="20"/>
              </w:rPr>
              <w:t>This policy addresses federal laws that prohibit discrimination in employment</w:t>
            </w:r>
            <w:r w:rsidR="002E32A3">
              <w:rPr>
                <w:rFonts w:ascii="Times New Roman" w:hAnsi="Times New Roman"/>
                <w:color w:val="000000" w:themeColor="text1"/>
                <w:sz w:val="20"/>
                <w:szCs w:val="20"/>
              </w:rPr>
              <w:t xml:space="preserve">, including Title VII. </w:t>
            </w:r>
            <w:r>
              <w:rPr>
                <w:rFonts w:ascii="Times New Roman" w:hAnsi="Times New Roman"/>
                <w:color w:val="000000" w:themeColor="text1"/>
                <w:sz w:val="20"/>
                <w:szCs w:val="20"/>
              </w:rPr>
              <w:t xml:space="preserve">  </w:t>
            </w:r>
            <w:r w:rsidR="002E32A3">
              <w:rPr>
                <w:rFonts w:ascii="Times New Roman" w:hAnsi="Times New Roman"/>
                <w:color w:val="000000" w:themeColor="text1"/>
                <w:sz w:val="20"/>
                <w:szCs w:val="20"/>
              </w:rPr>
              <w:t xml:space="preserve">Because the Title IX regulations adopted a different definition of “sexual harassment” than is used in Title VII, some conduct that does not violate Title IX and policy 1720/4030/7235, </w:t>
            </w:r>
            <w:r w:rsidR="006B4618">
              <w:rPr>
                <w:rFonts w:ascii="Times New Roman" w:hAnsi="Times New Roman"/>
                <w:color w:val="000000" w:themeColor="text1"/>
                <w:sz w:val="20"/>
                <w:szCs w:val="20"/>
              </w:rPr>
              <w:t xml:space="preserve">may nevertheless </w:t>
            </w:r>
            <w:r w:rsidR="002E32A3">
              <w:rPr>
                <w:rFonts w:ascii="Times New Roman" w:hAnsi="Times New Roman"/>
                <w:color w:val="000000" w:themeColor="text1"/>
                <w:sz w:val="20"/>
                <w:szCs w:val="20"/>
              </w:rPr>
              <w:t>violate Title VII and this policy</w:t>
            </w:r>
            <w:r w:rsidR="006B4618">
              <w:rPr>
                <w:rFonts w:ascii="Times New Roman" w:hAnsi="Times New Roman"/>
                <w:color w:val="000000" w:themeColor="text1"/>
                <w:sz w:val="20"/>
                <w:szCs w:val="20"/>
              </w:rPr>
              <w:t>.</w:t>
            </w:r>
          </w:p>
        </w:tc>
      </w:tr>
    </w:tbl>
    <w:p w14:paraId="3EE890B3" w14:textId="77777777" w:rsidR="00D71C00" w:rsidRPr="00B549A5" w:rsidRDefault="00D71C00" w:rsidP="00D71C00">
      <w:pPr>
        <w:rPr>
          <w:rFonts w:ascii="Times New Roman" w:hAnsi="Times New Roman"/>
          <w:color w:val="FF0000"/>
        </w:rPr>
      </w:pPr>
    </w:p>
    <w:sectPr w:rsidR="00D71C00" w:rsidRPr="00B549A5" w:rsidSect="000F115B">
      <w:headerReference w:type="default" r:id="rId8"/>
      <w:footerReference w:type="default" r:id="rId9"/>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68D63" w14:textId="77777777" w:rsidR="0060203F" w:rsidRDefault="0060203F">
      <w:r>
        <w:separator/>
      </w:r>
    </w:p>
  </w:endnote>
  <w:endnote w:type="continuationSeparator" w:id="0">
    <w:p w14:paraId="215825FA" w14:textId="77777777" w:rsidR="0060203F" w:rsidRDefault="0060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2AA5" w14:textId="77777777" w:rsidR="004E3AE8" w:rsidRPr="008D0677" w:rsidRDefault="004E3AE8" w:rsidP="00437AF5">
    <w:pPr>
      <w:pStyle w:val="Footer"/>
      <w:tabs>
        <w:tab w:val="clear" w:pos="8640"/>
        <w:tab w:val="right" w:pos="9360"/>
      </w:tabs>
      <w:ind w:left="180" w:hanging="180"/>
      <w:rPr>
        <w:rStyle w:val="PageNumber"/>
      </w:rPr>
    </w:pPr>
    <w:r w:rsidRPr="008D0677">
      <w:rPr>
        <w:rStyle w:val="PageNumber"/>
        <w:rFonts w:ascii="Times New Roman" w:hAnsi="Times New Roman"/>
      </w:rPr>
      <w:t xml:space="preserve">* </w:t>
    </w:r>
    <w:r w:rsidRPr="008D0677">
      <w:rPr>
        <w:rStyle w:val="PageNumber"/>
        <w:rFonts w:ascii="Times New Roman" w:hAnsi="Times New Roman"/>
        <w:i/>
        <w:sz w:val="18"/>
      </w:rPr>
      <w:t xml:space="preserve">Required </w:t>
    </w:r>
    <w:r w:rsidRPr="008D0677">
      <w:rPr>
        <w:rStyle w:val="PageNumber"/>
        <w:rFonts w:ascii="Times New Roman" w:hAnsi="Times New Roman"/>
        <w:sz w:val="18"/>
      </w:rPr>
      <w:t>means either (1) the provisions are required by law to be addressed in policy or (2) the modifications must be made to ensure the policy reflects current law (ex. adding new statutory language or updates to legal citations).</w:t>
    </w:r>
  </w:p>
  <w:p w14:paraId="45FBF83F" w14:textId="77777777" w:rsidR="004E3AE8" w:rsidRPr="008D0677" w:rsidRDefault="004E3AE8" w:rsidP="00D71C00">
    <w:pPr>
      <w:pStyle w:val="Footer"/>
      <w:ind w:left="180" w:hanging="180"/>
      <w:rPr>
        <w:rStyle w:val="PageNumber"/>
      </w:rPr>
    </w:pPr>
    <w:r w:rsidRPr="008D0677">
      <w:rPr>
        <w:rStyle w:val="PageNumber"/>
        <w:rFonts w:ascii="Times New Roman" w:hAnsi="Times New Roman"/>
      </w:rPr>
      <w:t xml:space="preserve">* </w:t>
    </w:r>
    <w:r w:rsidRPr="008D0677">
      <w:rPr>
        <w:rStyle w:val="PageNumber"/>
        <w:rFonts w:ascii="Times New Roman" w:hAnsi="Times New Roman"/>
        <w:i/>
        <w:sz w:val="18"/>
      </w:rPr>
      <w:t xml:space="preserve">Strongly recommended </w:t>
    </w:r>
    <w:r w:rsidRPr="008D0677">
      <w:rPr>
        <w:rStyle w:val="PageNumber"/>
        <w:rFonts w:ascii="Times New Roman" w:hAnsi="Times New Roman"/>
        <w:sz w:val="18"/>
      </w:rPr>
      <w:t>means the provisions are required by law</w:t>
    </w:r>
    <w:r>
      <w:rPr>
        <w:rStyle w:val="PageNumber"/>
        <w:rFonts w:ascii="Times New Roman" w:hAnsi="Times New Roman"/>
        <w:sz w:val="18"/>
      </w:rPr>
      <w:t>,</w:t>
    </w:r>
    <w:r w:rsidRPr="008D0677">
      <w:rPr>
        <w:rStyle w:val="PageNumber"/>
        <w:rFonts w:ascii="Times New Roman" w:hAnsi="Times New Roman"/>
        <w:sz w:val="18"/>
      </w:rPr>
      <w:t xml:space="preserve"> but they do not have to be addressed in policy, although NCSBA strongly recommends that the provision</w:t>
    </w:r>
    <w:r>
      <w:rPr>
        <w:rStyle w:val="PageNumber"/>
        <w:rFonts w:ascii="Times New Roman" w:hAnsi="Times New Roman"/>
        <w:sz w:val="18"/>
      </w:rPr>
      <w:t>s</w:t>
    </w:r>
    <w:r w:rsidRPr="008D0677">
      <w:rPr>
        <w:rStyle w:val="PageNumber"/>
        <w:rFonts w:ascii="Times New Roman" w:hAnsi="Times New Roman"/>
        <w:sz w:val="18"/>
      </w:rPr>
      <w:t xml:space="preserve"> be added to policy.</w:t>
    </w:r>
  </w:p>
  <w:p w14:paraId="6E6F6FE9" w14:textId="16A3D813" w:rsidR="004E3AE8" w:rsidRPr="00BF2405" w:rsidRDefault="004E3AE8" w:rsidP="00D71C00">
    <w:pPr>
      <w:pStyle w:val="Footer"/>
      <w:tabs>
        <w:tab w:val="clear" w:pos="8640"/>
        <w:tab w:val="right" w:pos="9360"/>
      </w:tabs>
      <w:rPr>
        <w:rFonts w:ascii="Times New Roman" w:hAnsi="Times New Roman"/>
        <w:sz w:val="18"/>
      </w:rPr>
    </w:pPr>
    <w:r w:rsidRPr="008D0677">
      <w:rPr>
        <w:rStyle w:val="PageNumber"/>
        <w:rFonts w:ascii="Times New Roman" w:hAnsi="Times New Roman"/>
        <w:sz w:val="18"/>
      </w:rPr>
      <w:t xml:space="preserve">* </w:t>
    </w:r>
    <w:r w:rsidRPr="008D0677">
      <w:rPr>
        <w:rStyle w:val="PageNumber"/>
        <w:rFonts w:ascii="Times New Roman" w:hAnsi="Times New Roman"/>
        <w:i/>
        <w:sz w:val="18"/>
      </w:rPr>
      <w:t>Recommended</w:t>
    </w:r>
    <w:r w:rsidRPr="008D0677">
      <w:rPr>
        <w:rStyle w:val="PageNumber"/>
        <w:rFonts w:ascii="Times New Roman" w:hAnsi="Times New Roman"/>
        <w:sz w:val="18"/>
      </w:rPr>
      <w:t xml:space="preserve"> means the provisions are not required by law</w:t>
    </w:r>
    <w:r>
      <w:rPr>
        <w:rStyle w:val="PageNumber"/>
        <w:rFonts w:ascii="Times New Roman" w:hAnsi="Times New Roman"/>
        <w:sz w:val="18"/>
      </w:rPr>
      <w:t>,</w:t>
    </w:r>
    <w:r w:rsidRPr="008D0677">
      <w:rPr>
        <w:rStyle w:val="PageNumber"/>
        <w:rFonts w:ascii="Times New Roman" w:hAnsi="Times New Roman"/>
        <w:sz w:val="18"/>
      </w:rPr>
      <w:t xml:space="preserve"> but NCSBA considers them good practice.</w:t>
    </w:r>
    <w:r w:rsidRPr="008D0677">
      <w:rPr>
        <w:rStyle w:val="PageNumber"/>
        <w:rFonts w:ascii="Times New Roman" w:hAnsi="Times New Roman"/>
        <w:sz w:val="18"/>
      </w:rPr>
      <w:tab/>
    </w:r>
    <w:r w:rsidRPr="00BF2405">
      <w:rPr>
        <w:rStyle w:val="PageNumber"/>
        <w:rFonts w:ascii="Times New Roman" w:hAnsi="Times New Roman"/>
        <w:sz w:val="18"/>
      </w:rPr>
      <w:t xml:space="preserve"> </w:t>
    </w:r>
    <w:r>
      <w:fldChar w:fldCharType="begin"/>
    </w:r>
    <w:r>
      <w:instrText xml:space="preserve"> PAGE  \* Arabic  \* MERGEFORMAT </w:instrText>
    </w:r>
    <w:r>
      <w:fldChar w:fldCharType="separate"/>
    </w:r>
    <w:r w:rsidR="00E65D32" w:rsidRPr="00E65D32">
      <w:rPr>
        <w:rStyle w:val="PageNumber"/>
        <w:rFonts w:ascii="Times New Roman" w:hAnsi="Times New Roman"/>
        <w:noProof/>
        <w:sz w:val="18"/>
        <w:szCs w:val="18"/>
      </w:rPr>
      <w:t>2</w:t>
    </w:r>
    <w:r>
      <w:rPr>
        <w:rStyle w:val="PageNumber"/>
        <w:rFonts w:ascii="Times New Roman" w:hAnsi="Times New Roman"/>
        <w:noProof/>
        <w:sz w:val="18"/>
        <w:szCs w:val="18"/>
      </w:rPr>
      <w:fldChar w:fldCharType="end"/>
    </w:r>
    <w:r w:rsidRPr="00BF2405">
      <w:rPr>
        <w:rStyle w:val="PageNumber"/>
        <w:rFonts w:ascii="Times New Roman" w:hAnsi="Times New Roman"/>
        <w:sz w:val="18"/>
        <w:szCs w:val="18"/>
      </w:rPr>
      <w:t xml:space="preserve"> of </w:t>
    </w:r>
    <w:fldSimple w:instr=" NUMPAGES  \* Arabic  \* MERGEFORMAT ">
      <w:r w:rsidR="00E65D32" w:rsidRPr="00E65D32">
        <w:rPr>
          <w:rFonts w:ascii="Times New Roman" w:hAnsi="Times New Roman"/>
          <w:noProof/>
          <w:sz w:val="18"/>
          <w:szCs w:val="18"/>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0109" w14:textId="77777777" w:rsidR="0060203F" w:rsidRDefault="0060203F">
      <w:r>
        <w:separator/>
      </w:r>
    </w:p>
  </w:footnote>
  <w:footnote w:type="continuationSeparator" w:id="0">
    <w:p w14:paraId="175FA8DB" w14:textId="77777777" w:rsidR="0060203F" w:rsidRDefault="0060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153C" w14:textId="6895E93F" w:rsidR="000F115B" w:rsidRDefault="00E26075" w:rsidP="00896752">
    <w:pPr>
      <w:pStyle w:val="Header"/>
      <w:tabs>
        <w:tab w:val="clear" w:pos="4320"/>
        <w:tab w:val="clear" w:pos="8640"/>
      </w:tabs>
      <w:jc w:val="center"/>
      <w:rPr>
        <w:b/>
        <w:color w:val="000000" w:themeColor="text1"/>
      </w:rPr>
    </w:pPr>
    <w:r>
      <w:rPr>
        <w:b/>
        <w:color w:val="000000" w:themeColor="text1"/>
      </w:rPr>
      <w:t xml:space="preserve">NCSBA </w:t>
    </w:r>
    <w:r w:rsidR="000F115B">
      <w:rPr>
        <w:b/>
        <w:color w:val="000000" w:themeColor="text1"/>
      </w:rPr>
      <w:t xml:space="preserve">Special </w:t>
    </w:r>
    <w:r w:rsidR="004E3AE8">
      <w:rPr>
        <w:b/>
        <w:color w:val="000000" w:themeColor="text1"/>
      </w:rPr>
      <w:t>PLS Update</w:t>
    </w:r>
  </w:p>
  <w:p w14:paraId="5F1714E2" w14:textId="24CAC984" w:rsidR="004E3AE8" w:rsidRPr="0015537D" w:rsidRDefault="000F115B" w:rsidP="000F115B">
    <w:pPr>
      <w:pStyle w:val="Header"/>
      <w:tabs>
        <w:tab w:val="clear" w:pos="4320"/>
        <w:tab w:val="clear" w:pos="8640"/>
      </w:tabs>
      <w:jc w:val="center"/>
      <w:rPr>
        <w:b/>
        <w:color w:val="000000" w:themeColor="text1"/>
      </w:rPr>
    </w:pPr>
    <w:r>
      <w:rPr>
        <w:b/>
        <w:color w:val="000000" w:themeColor="text1"/>
      </w:rPr>
      <w:t xml:space="preserve">July 2020 </w:t>
    </w:r>
  </w:p>
  <w:p w14:paraId="13890529" w14:textId="77777777" w:rsidR="004E3AE8" w:rsidRDefault="004E3AE8" w:rsidP="00D71C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D96"/>
    <w:multiLevelType w:val="hybridMultilevel"/>
    <w:tmpl w:val="A5B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1C9"/>
    <w:multiLevelType w:val="hybridMultilevel"/>
    <w:tmpl w:val="450088B4"/>
    <w:lvl w:ilvl="0" w:tplc="04090001">
      <w:start w:val="1"/>
      <w:numFmt w:val="bullet"/>
      <w:lvlText w:val=""/>
      <w:lvlJc w:val="left"/>
      <w:pPr>
        <w:ind w:left="385" w:hanging="360"/>
      </w:pPr>
      <w:rPr>
        <w:rFonts w:ascii="Symbol" w:hAnsi="Symbol"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 w15:restartNumberingAfterBreak="0">
    <w:nsid w:val="09A10A9F"/>
    <w:multiLevelType w:val="hybridMultilevel"/>
    <w:tmpl w:val="555289A0"/>
    <w:lvl w:ilvl="0" w:tplc="243EA1C4">
      <w:start w:val="1"/>
      <w:numFmt w:val="bullet"/>
      <w:lvlText w:val=""/>
      <w:lvlJc w:val="left"/>
      <w:pPr>
        <w:tabs>
          <w:tab w:val="num" w:pos="216"/>
        </w:tabs>
        <w:ind w:left="216" w:hanging="216"/>
      </w:pPr>
      <w:rPr>
        <w:rFonts w:ascii="Symbol" w:hAnsi="Symbol" w:hint="default"/>
        <w:sz w:val="18"/>
        <w:szCs w:val="18"/>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A1A48"/>
    <w:multiLevelType w:val="hybridMultilevel"/>
    <w:tmpl w:val="E7B6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C790B"/>
    <w:multiLevelType w:val="hybridMultilevel"/>
    <w:tmpl w:val="10C81956"/>
    <w:lvl w:ilvl="0" w:tplc="FEB85CFE">
      <w:start w:val="1"/>
      <w:numFmt w:val="bullet"/>
      <w:lvlText w:val=""/>
      <w:lvlJc w:val="left"/>
      <w:pPr>
        <w:tabs>
          <w:tab w:val="num" w:pos="216"/>
        </w:tabs>
        <w:ind w:left="216" w:hanging="216"/>
      </w:pPr>
      <w:rPr>
        <w:rFonts w:ascii="Symbol" w:hAnsi="Symbol" w:hint="default"/>
        <w:sz w:val="18"/>
        <w:szCs w:val="18"/>
      </w:rPr>
    </w:lvl>
    <w:lvl w:ilvl="1" w:tplc="FBFA6C94">
      <w:start w:val="1"/>
      <w:numFmt w:val="bullet"/>
      <w:lvlText w:val=""/>
      <w:lvlJc w:val="left"/>
      <w:pPr>
        <w:tabs>
          <w:tab w:val="num" w:pos="1296"/>
        </w:tabs>
        <w:ind w:left="1296" w:hanging="216"/>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46F91"/>
    <w:multiLevelType w:val="hybridMultilevel"/>
    <w:tmpl w:val="AE325636"/>
    <w:lvl w:ilvl="0" w:tplc="04090001">
      <w:start w:val="1"/>
      <w:numFmt w:val="bullet"/>
      <w:lvlText w:val=""/>
      <w:lvlJc w:val="left"/>
      <w:pPr>
        <w:tabs>
          <w:tab w:val="num" w:pos="216"/>
        </w:tabs>
        <w:ind w:left="216" w:hanging="216"/>
      </w:pPr>
      <w:rPr>
        <w:rFonts w:ascii="Symbol" w:hAnsi="Symbol" w:hint="default"/>
        <w:b w:val="0"/>
        <w:sz w:val="20"/>
        <w:szCs w:val="20"/>
      </w:rPr>
    </w:lvl>
    <w:lvl w:ilvl="1" w:tplc="FBFA6C94">
      <w:start w:val="1"/>
      <w:numFmt w:val="bullet"/>
      <w:lvlText w:val=""/>
      <w:lvlJc w:val="left"/>
      <w:pPr>
        <w:tabs>
          <w:tab w:val="num" w:pos="1296"/>
        </w:tabs>
        <w:ind w:left="1296" w:hanging="216"/>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27BDC"/>
    <w:multiLevelType w:val="hybridMultilevel"/>
    <w:tmpl w:val="088C3C42"/>
    <w:lvl w:ilvl="0" w:tplc="FEB85CFE">
      <w:start w:val="1"/>
      <w:numFmt w:val="bullet"/>
      <w:lvlText w:val=""/>
      <w:lvlJc w:val="left"/>
      <w:pPr>
        <w:tabs>
          <w:tab w:val="num" w:pos="216"/>
        </w:tabs>
        <w:ind w:left="216" w:hanging="216"/>
      </w:pPr>
      <w:rPr>
        <w:rFonts w:ascii="Symbol" w:hAnsi="Symbol" w:hint="default"/>
        <w:sz w:val="18"/>
        <w:szCs w:val="18"/>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4316B8"/>
    <w:multiLevelType w:val="hybridMultilevel"/>
    <w:tmpl w:val="72FA68CE"/>
    <w:lvl w:ilvl="0" w:tplc="13783D74">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B4BCF"/>
    <w:multiLevelType w:val="hybridMultilevel"/>
    <w:tmpl w:val="50346E60"/>
    <w:lvl w:ilvl="0" w:tplc="243EA1C4">
      <w:start w:val="1"/>
      <w:numFmt w:val="bullet"/>
      <w:lvlText w:val=""/>
      <w:lvlJc w:val="left"/>
      <w:pPr>
        <w:tabs>
          <w:tab w:val="num" w:pos="216"/>
        </w:tabs>
        <w:ind w:left="216" w:hanging="216"/>
      </w:pPr>
      <w:rPr>
        <w:rFonts w:ascii="Symbol" w:hAnsi="Symbol" w:hint="default"/>
        <w:sz w:val="18"/>
        <w:szCs w:val="18"/>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BD6D28"/>
    <w:multiLevelType w:val="hybridMultilevel"/>
    <w:tmpl w:val="9F9E17D8"/>
    <w:lvl w:ilvl="0" w:tplc="2CFC082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E47A3"/>
    <w:multiLevelType w:val="hybridMultilevel"/>
    <w:tmpl w:val="0F4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85897"/>
    <w:multiLevelType w:val="hybridMultilevel"/>
    <w:tmpl w:val="D08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2799F"/>
    <w:multiLevelType w:val="multilevel"/>
    <w:tmpl w:val="FB6E6E8C"/>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1B6DEE"/>
    <w:multiLevelType w:val="hybridMultilevel"/>
    <w:tmpl w:val="40F0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CD7494"/>
    <w:multiLevelType w:val="hybridMultilevel"/>
    <w:tmpl w:val="498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44C4C"/>
    <w:multiLevelType w:val="hybridMultilevel"/>
    <w:tmpl w:val="814E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134EB"/>
    <w:multiLevelType w:val="hybridMultilevel"/>
    <w:tmpl w:val="CFB8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4D30"/>
    <w:multiLevelType w:val="hybridMultilevel"/>
    <w:tmpl w:val="E8D8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F228C"/>
    <w:multiLevelType w:val="hybridMultilevel"/>
    <w:tmpl w:val="32FEA21E"/>
    <w:lvl w:ilvl="0" w:tplc="049AF50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00FD8"/>
    <w:multiLevelType w:val="hybridMultilevel"/>
    <w:tmpl w:val="6176769C"/>
    <w:lvl w:ilvl="0" w:tplc="98E8A4D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A7978"/>
    <w:multiLevelType w:val="hybridMultilevel"/>
    <w:tmpl w:val="93BE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8048A"/>
    <w:multiLevelType w:val="hybridMultilevel"/>
    <w:tmpl w:val="B8F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0157B"/>
    <w:multiLevelType w:val="hybridMultilevel"/>
    <w:tmpl w:val="FB6E6E8C"/>
    <w:lvl w:ilvl="0" w:tplc="E690E82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467772"/>
    <w:multiLevelType w:val="hybridMultilevel"/>
    <w:tmpl w:val="2106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401CE"/>
    <w:multiLevelType w:val="hybridMultilevel"/>
    <w:tmpl w:val="B0683652"/>
    <w:lvl w:ilvl="0" w:tplc="FEB85CFE">
      <w:start w:val="1"/>
      <w:numFmt w:val="bullet"/>
      <w:lvlText w:val=""/>
      <w:lvlJc w:val="left"/>
      <w:pPr>
        <w:tabs>
          <w:tab w:val="num" w:pos="216"/>
        </w:tabs>
        <w:ind w:left="216" w:hanging="216"/>
      </w:pPr>
      <w:rPr>
        <w:rFonts w:ascii="Symbol" w:hAnsi="Symbol" w:hint="default"/>
        <w:sz w:val="18"/>
        <w:szCs w:val="18"/>
      </w:rPr>
    </w:lvl>
    <w:lvl w:ilvl="1" w:tplc="939EA50A">
      <w:start w:val="1"/>
      <w:numFmt w:val="bullet"/>
      <w:lvlText w:val=""/>
      <w:lvlJc w:val="left"/>
      <w:pPr>
        <w:tabs>
          <w:tab w:val="num" w:pos="216"/>
        </w:tabs>
        <w:ind w:left="216" w:hanging="216"/>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B7837"/>
    <w:multiLevelType w:val="hybridMultilevel"/>
    <w:tmpl w:val="0C428EFC"/>
    <w:lvl w:ilvl="0" w:tplc="C99E4560">
      <w:start w:val="1"/>
      <w:numFmt w:val="decimal"/>
      <w:lvlText w:val="%1."/>
      <w:lvlJc w:val="left"/>
      <w:pPr>
        <w:ind w:left="875" w:hanging="360"/>
      </w:pPr>
      <w:rPr>
        <w:rFonts w:ascii="Times New Roman" w:eastAsia="Times New Roman" w:hAnsi="Times New Roman" w:cs="Times New Roman"/>
      </w:rPr>
    </w:lvl>
    <w:lvl w:ilvl="1" w:tplc="04090003" w:tentative="1">
      <w:start w:val="1"/>
      <w:numFmt w:val="bullet"/>
      <w:lvlText w:val="o"/>
      <w:lvlJc w:val="left"/>
      <w:pPr>
        <w:ind w:left="1595" w:hanging="360"/>
      </w:pPr>
      <w:rPr>
        <w:rFonts w:ascii="Courier New" w:hAnsi="Courier New" w:cs="Arial"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Arial"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Arial" w:hint="default"/>
      </w:rPr>
    </w:lvl>
    <w:lvl w:ilvl="8" w:tplc="04090005" w:tentative="1">
      <w:start w:val="1"/>
      <w:numFmt w:val="bullet"/>
      <w:lvlText w:val=""/>
      <w:lvlJc w:val="left"/>
      <w:pPr>
        <w:ind w:left="6635" w:hanging="360"/>
      </w:pPr>
      <w:rPr>
        <w:rFonts w:ascii="Wingdings" w:hAnsi="Wingdings" w:hint="default"/>
      </w:rPr>
    </w:lvl>
  </w:abstractNum>
  <w:abstractNum w:abstractNumId="26" w15:restartNumberingAfterBreak="0">
    <w:nsid w:val="566120FE"/>
    <w:multiLevelType w:val="hybridMultilevel"/>
    <w:tmpl w:val="AB185578"/>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7" w15:restartNumberingAfterBreak="0">
    <w:nsid w:val="5C37760C"/>
    <w:multiLevelType w:val="hybridMultilevel"/>
    <w:tmpl w:val="99503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85250B"/>
    <w:multiLevelType w:val="hybridMultilevel"/>
    <w:tmpl w:val="0C428EFC"/>
    <w:lvl w:ilvl="0" w:tplc="C99E4560">
      <w:start w:val="1"/>
      <w:numFmt w:val="decimal"/>
      <w:lvlText w:val="%1."/>
      <w:lvlJc w:val="left"/>
      <w:pPr>
        <w:ind w:left="875" w:hanging="360"/>
      </w:pPr>
      <w:rPr>
        <w:rFonts w:ascii="Times New Roman" w:eastAsia="Times New Roman" w:hAnsi="Times New Roman" w:cs="Times New Roman"/>
      </w:rPr>
    </w:lvl>
    <w:lvl w:ilvl="1" w:tplc="04090003" w:tentative="1">
      <w:start w:val="1"/>
      <w:numFmt w:val="bullet"/>
      <w:lvlText w:val="o"/>
      <w:lvlJc w:val="left"/>
      <w:pPr>
        <w:ind w:left="1595" w:hanging="360"/>
      </w:pPr>
      <w:rPr>
        <w:rFonts w:ascii="Courier New" w:hAnsi="Courier New" w:cs="Arial"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Arial"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Arial" w:hint="default"/>
      </w:rPr>
    </w:lvl>
    <w:lvl w:ilvl="8" w:tplc="04090005" w:tentative="1">
      <w:start w:val="1"/>
      <w:numFmt w:val="bullet"/>
      <w:lvlText w:val=""/>
      <w:lvlJc w:val="left"/>
      <w:pPr>
        <w:ind w:left="6635" w:hanging="360"/>
      </w:pPr>
      <w:rPr>
        <w:rFonts w:ascii="Wingdings" w:hAnsi="Wingdings" w:hint="default"/>
      </w:rPr>
    </w:lvl>
  </w:abstractNum>
  <w:abstractNum w:abstractNumId="29" w15:restartNumberingAfterBreak="0">
    <w:nsid w:val="61541A61"/>
    <w:multiLevelType w:val="hybridMultilevel"/>
    <w:tmpl w:val="80C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12BDF"/>
    <w:multiLevelType w:val="hybridMultilevel"/>
    <w:tmpl w:val="17A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D7303"/>
    <w:multiLevelType w:val="hybridMultilevel"/>
    <w:tmpl w:val="205CCE6E"/>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2" w15:restartNumberingAfterBreak="0">
    <w:nsid w:val="6413751C"/>
    <w:multiLevelType w:val="hybridMultilevel"/>
    <w:tmpl w:val="71483BA0"/>
    <w:lvl w:ilvl="0" w:tplc="DC6CD4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F2FAE"/>
    <w:multiLevelType w:val="hybridMultilevel"/>
    <w:tmpl w:val="C9BA87DE"/>
    <w:lvl w:ilvl="0" w:tplc="B0BCC81A">
      <w:start w:val="1"/>
      <w:numFmt w:val="decimal"/>
      <w:lvlText w:val="%1."/>
      <w:lvlJc w:val="left"/>
      <w:pPr>
        <w:ind w:left="875" w:hanging="360"/>
      </w:pPr>
      <w:rPr>
        <w:rFonts w:hint="default"/>
        <w:color w:val="000000" w:themeColor="text1"/>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34" w15:restartNumberingAfterBreak="0">
    <w:nsid w:val="6FDA4A05"/>
    <w:multiLevelType w:val="multilevel"/>
    <w:tmpl w:val="10C81956"/>
    <w:lvl w:ilvl="0">
      <w:start w:val="1"/>
      <w:numFmt w:val="bullet"/>
      <w:lvlText w:val=""/>
      <w:lvlJc w:val="left"/>
      <w:pPr>
        <w:tabs>
          <w:tab w:val="num" w:pos="216"/>
        </w:tabs>
        <w:ind w:left="216" w:hanging="216"/>
      </w:pPr>
      <w:rPr>
        <w:rFonts w:ascii="Symbol" w:hAnsi="Symbol" w:hint="default"/>
        <w:sz w:val="18"/>
        <w:szCs w:val="18"/>
      </w:rPr>
    </w:lvl>
    <w:lvl w:ilvl="1">
      <w:start w:val="1"/>
      <w:numFmt w:val="bullet"/>
      <w:lvlText w:val=""/>
      <w:lvlJc w:val="left"/>
      <w:pPr>
        <w:tabs>
          <w:tab w:val="num" w:pos="1296"/>
        </w:tabs>
        <w:ind w:left="1296" w:hanging="216"/>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E316A"/>
    <w:multiLevelType w:val="hybridMultilevel"/>
    <w:tmpl w:val="FD46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16B02"/>
    <w:multiLevelType w:val="hybridMultilevel"/>
    <w:tmpl w:val="4260EDFE"/>
    <w:lvl w:ilvl="0" w:tplc="C8BA0C1C">
      <w:start w:val="1"/>
      <w:numFmt w:val="decimal"/>
      <w:lvlText w:val="%1."/>
      <w:lvlJc w:val="left"/>
      <w:pPr>
        <w:tabs>
          <w:tab w:val="num" w:pos="216"/>
        </w:tabs>
        <w:ind w:left="216" w:hanging="216"/>
      </w:pPr>
      <w:rPr>
        <w:rFonts w:hint="default"/>
        <w:b w:val="0"/>
        <w:sz w:val="20"/>
        <w:szCs w:val="20"/>
      </w:rPr>
    </w:lvl>
    <w:lvl w:ilvl="1" w:tplc="FBFA6C94">
      <w:start w:val="1"/>
      <w:numFmt w:val="bullet"/>
      <w:lvlText w:val=""/>
      <w:lvlJc w:val="left"/>
      <w:pPr>
        <w:tabs>
          <w:tab w:val="num" w:pos="1296"/>
        </w:tabs>
        <w:ind w:left="1296" w:hanging="216"/>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C178C"/>
    <w:multiLevelType w:val="hybridMultilevel"/>
    <w:tmpl w:val="1DFCC79A"/>
    <w:lvl w:ilvl="0" w:tplc="81AC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8"/>
  </w:num>
  <w:num w:numId="4">
    <w:abstractNumId w:val="12"/>
  </w:num>
  <w:num w:numId="5">
    <w:abstractNumId w:val="6"/>
  </w:num>
  <w:num w:numId="6">
    <w:abstractNumId w:val="4"/>
  </w:num>
  <w:num w:numId="7">
    <w:abstractNumId w:val="34"/>
  </w:num>
  <w:num w:numId="8">
    <w:abstractNumId w:val="24"/>
  </w:num>
  <w:num w:numId="9">
    <w:abstractNumId w:val="9"/>
  </w:num>
  <w:num w:numId="10">
    <w:abstractNumId w:val="36"/>
  </w:num>
  <w:num w:numId="11">
    <w:abstractNumId w:val="29"/>
  </w:num>
  <w:num w:numId="12">
    <w:abstractNumId w:val="5"/>
  </w:num>
  <w:num w:numId="13">
    <w:abstractNumId w:val="32"/>
  </w:num>
  <w:num w:numId="14">
    <w:abstractNumId w:val="35"/>
  </w:num>
  <w:num w:numId="15">
    <w:abstractNumId w:val="17"/>
  </w:num>
  <w:num w:numId="16">
    <w:abstractNumId w:val="30"/>
  </w:num>
  <w:num w:numId="17">
    <w:abstractNumId w:val="20"/>
  </w:num>
  <w:num w:numId="18">
    <w:abstractNumId w:val="28"/>
  </w:num>
  <w:num w:numId="19">
    <w:abstractNumId w:val="0"/>
  </w:num>
  <w:num w:numId="20">
    <w:abstractNumId w:val="27"/>
  </w:num>
  <w:num w:numId="21">
    <w:abstractNumId w:val="7"/>
  </w:num>
  <w:num w:numId="22">
    <w:abstractNumId w:val="11"/>
  </w:num>
  <w:num w:numId="23">
    <w:abstractNumId w:val="18"/>
  </w:num>
  <w:num w:numId="24">
    <w:abstractNumId w:val="13"/>
  </w:num>
  <w:num w:numId="25">
    <w:abstractNumId w:val="23"/>
  </w:num>
  <w:num w:numId="26">
    <w:abstractNumId w:val="14"/>
  </w:num>
  <w:num w:numId="27">
    <w:abstractNumId w:val="31"/>
  </w:num>
  <w:num w:numId="28">
    <w:abstractNumId w:val="3"/>
  </w:num>
  <w:num w:numId="29">
    <w:abstractNumId w:val="25"/>
  </w:num>
  <w:num w:numId="30">
    <w:abstractNumId w:val="33"/>
  </w:num>
  <w:num w:numId="31">
    <w:abstractNumId w:val="15"/>
  </w:num>
  <w:num w:numId="32">
    <w:abstractNumId w:val="37"/>
  </w:num>
  <w:num w:numId="33">
    <w:abstractNumId w:val="26"/>
  </w:num>
  <w:num w:numId="34">
    <w:abstractNumId w:val="19"/>
  </w:num>
  <w:num w:numId="35">
    <w:abstractNumId w:val="16"/>
  </w:num>
  <w:num w:numId="36">
    <w:abstractNumId w:val="21"/>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E2"/>
    <w:rsid w:val="00006F1D"/>
    <w:rsid w:val="0000742C"/>
    <w:rsid w:val="00010B8F"/>
    <w:rsid w:val="000111ED"/>
    <w:rsid w:val="000118CC"/>
    <w:rsid w:val="00011F14"/>
    <w:rsid w:val="00021E54"/>
    <w:rsid w:val="00024326"/>
    <w:rsid w:val="0003605D"/>
    <w:rsid w:val="00052918"/>
    <w:rsid w:val="000538FD"/>
    <w:rsid w:val="00054747"/>
    <w:rsid w:val="000550F7"/>
    <w:rsid w:val="000569DA"/>
    <w:rsid w:val="00060F45"/>
    <w:rsid w:val="000645A4"/>
    <w:rsid w:val="000733C9"/>
    <w:rsid w:val="00073767"/>
    <w:rsid w:val="00075BC1"/>
    <w:rsid w:val="000824FE"/>
    <w:rsid w:val="00091BE9"/>
    <w:rsid w:val="000A3FC2"/>
    <w:rsid w:val="000A4797"/>
    <w:rsid w:val="000B0130"/>
    <w:rsid w:val="000D73CA"/>
    <w:rsid w:val="000F115B"/>
    <w:rsid w:val="000F67B5"/>
    <w:rsid w:val="00101AFF"/>
    <w:rsid w:val="00103C24"/>
    <w:rsid w:val="00104D4C"/>
    <w:rsid w:val="00106BD0"/>
    <w:rsid w:val="00106E6C"/>
    <w:rsid w:val="00107489"/>
    <w:rsid w:val="00113DBA"/>
    <w:rsid w:val="001214DE"/>
    <w:rsid w:val="00123C9C"/>
    <w:rsid w:val="00124AC7"/>
    <w:rsid w:val="00131AAB"/>
    <w:rsid w:val="00135208"/>
    <w:rsid w:val="00137E4C"/>
    <w:rsid w:val="00140DDC"/>
    <w:rsid w:val="00141E62"/>
    <w:rsid w:val="001429B4"/>
    <w:rsid w:val="00156C9D"/>
    <w:rsid w:val="001714D6"/>
    <w:rsid w:val="00172E87"/>
    <w:rsid w:val="00175368"/>
    <w:rsid w:val="00176B54"/>
    <w:rsid w:val="001A39EE"/>
    <w:rsid w:val="001A6001"/>
    <w:rsid w:val="001A75F2"/>
    <w:rsid w:val="001B0B0F"/>
    <w:rsid w:val="001C1D96"/>
    <w:rsid w:val="001D1317"/>
    <w:rsid w:val="001D436C"/>
    <w:rsid w:val="001D7724"/>
    <w:rsid w:val="001E1DBC"/>
    <w:rsid w:val="001E227B"/>
    <w:rsid w:val="001E4A5B"/>
    <w:rsid w:val="001E6581"/>
    <w:rsid w:val="00201D92"/>
    <w:rsid w:val="0020272A"/>
    <w:rsid w:val="00207F44"/>
    <w:rsid w:val="00210FD7"/>
    <w:rsid w:val="00212ACA"/>
    <w:rsid w:val="00212C99"/>
    <w:rsid w:val="00220FC6"/>
    <w:rsid w:val="002224CD"/>
    <w:rsid w:val="002309AB"/>
    <w:rsid w:val="0023382D"/>
    <w:rsid w:val="00236537"/>
    <w:rsid w:val="00236F07"/>
    <w:rsid w:val="0023734C"/>
    <w:rsid w:val="002433E6"/>
    <w:rsid w:val="00244CC3"/>
    <w:rsid w:val="00252490"/>
    <w:rsid w:val="002547A5"/>
    <w:rsid w:val="00254B45"/>
    <w:rsid w:val="002552F2"/>
    <w:rsid w:val="00256CB4"/>
    <w:rsid w:val="00261E27"/>
    <w:rsid w:val="00265380"/>
    <w:rsid w:val="00267954"/>
    <w:rsid w:val="002833DB"/>
    <w:rsid w:val="00283635"/>
    <w:rsid w:val="00290235"/>
    <w:rsid w:val="00291CE1"/>
    <w:rsid w:val="00295061"/>
    <w:rsid w:val="002975A3"/>
    <w:rsid w:val="00297853"/>
    <w:rsid w:val="002A61F8"/>
    <w:rsid w:val="002B6CAC"/>
    <w:rsid w:val="002C06ED"/>
    <w:rsid w:val="002C3B6D"/>
    <w:rsid w:val="002C52C9"/>
    <w:rsid w:val="002D1AE2"/>
    <w:rsid w:val="002E1238"/>
    <w:rsid w:val="002E32A3"/>
    <w:rsid w:val="002F6D2D"/>
    <w:rsid w:val="00300748"/>
    <w:rsid w:val="00310C88"/>
    <w:rsid w:val="0031213B"/>
    <w:rsid w:val="003145E2"/>
    <w:rsid w:val="0031472F"/>
    <w:rsid w:val="0031539B"/>
    <w:rsid w:val="00320416"/>
    <w:rsid w:val="00321A85"/>
    <w:rsid w:val="003230DD"/>
    <w:rsid w:val="003236CC"/>
    <w:rsid w:val="00326042"/>
    <w:rsid w:val="0033595E"/>
    <w:rsid w:val="00335E32"/>
    <w:rsid w:val="00336055"/>
    <w:rsid w:val="00342FF7"/>
    <w:rsid w:val="00345C66"/>
    <w:rsid w:val="00345D15"/>
    <w:rsid w:val="00346218"/>
    <w:rsid w:val="00362A13"/>
    <w:rsid w:val="003651F2"/>
    <w:rsid w:val="00371BF4"/>
    <w:rsid w:val="003733BB"/>
    <w:rsid w:val="00385FB1"/>
    <w:rsid w:val="00386E02"/>
    <w:rsid w:val="003870AB"/>
    <w:rsid w:val="00397D9F"/>
    <w:rsid w:val="003A3A46"/>
    <w:rsid w:val="003B4C6A"/>
    <w:rsid w:val="003B70F6"/>
    <w:rsid w:val="003C026A"/>
    <w:rsid w:val="003E2CC4"/>
    <w:rsid w:val="003F7399"/>
    <w:rsid w:val="00410D4D"/>
    <w:rsid w:val="004124FE"/>
    <w:rsid w:val="00414E2D"/>
    <w:rsid w:val="00416A0A"/>
    <w:rsid w:val="004170F9"/>
    <w:rsid w:val="00437AF5"/>
    <w:rsid w:val="00441962"/>
    <w:rsid w:val="004421D3"/>
    <w:rsid w:val="004439D5"/>
    <w:rsid w:val="00457713"/>
    <w:rsid w:val="004579BD"/>
    <w:rsid w:val="00457C97"/>
    <w:rsid w:val="00463EBF"/>
    <w:rsid w:val="004742D4"/>
    <w:rsid w:val="00477D6B"/>
    <w:rsid w:val="004816AA"/>
    <w:rsid w:val="004836F2"/>
    <w:rsid w:val="00491DB3"/>
    <w:rsid w:val="004945B8"/>
    <w:rsid w:val="004A3E2A"/>
    <w:rsid w:val="004B2F62"/>
    <w:rsid w:val="004B406C"/>
    <w:rsid w:val="004B6700"/>
    <w:rsid w:val="004C1596"/>
    <w:rsid w:val="004C7A50"/>
    <w:rsid w:val="004D48F4"/>
    <w:rsid w:val="004D59CC"/>
    <w:rsid w:val="004D7378"/>
    <w:rsid w:val="004E3AE8"/>
    <w:rsid w:val="004F0186"/>
    <w:rsid w:val="004F5E98"/>
    <w:rsid w:val="00501B65"/>
    <w:rsid w:val="005024E8"/>
    <w:rsid w:val="00507CE5"/>
    <w:rsid w:val="00512189"/>
    <w:rsid w:val="0051281F"/>
    <w:rsid w:val="00516254"/>
    <w:rsid w:val="005177E3"/>
    <w:rsid w:val="00542028"/>
    <w:rsid w:val="00543A9A"/>
    <w:rsid w:val="00562ECF"/>
    <w:rsid w:val="005638A1"/>
    <w:rsid w:val="00571C03"/>
    <w:rsid w:val="00572F19"/>
    <w:rsid w:val="00576BC0"/>
    <w:rsid w:val="0058244D"/>
    <w:rsid w:val="0059311D"/>
    <w:rsid w:val="00593911"/>
    <w:rsid w:val="005948F9"/>
    <w:rsid w:val="005A2754"/>
    <w:rsid w:val="005A327F"/>
    <w:rsid w:val="005A6AC0"/>
    <w:rsid w:val="005A7FEF"/>
    <w:rsid w:val="005B37FC"/>
    <w:rsid w:val="005C790C"/>
    <w:rsid w:val="005D356C"/>
    <w:rsid w:val="005D695E"/>
    <w:rsid w:val="005F3E8A"/>
    <w:rsid w:val="005F49A8"/>
    <w:rsid w:val="0060180E"/>
    <w:rsid w:val="0060203F"/>
    <w:rsid w:val="006023A1"/>
    <w:rsid w:val="00607BFA"/>
    <w:rsid w:val="00625341"/>
    <w:rsid w:val="00627888"/>
    <w:rsid w:val="00633E0B"/>
    <w:rsid w:val="00636A29"/>
    <w:rsid w:val="006405A9"/>
    <w:rsid w:val="0064091C"/>
    <w:rsid w:val="00641B79"/>
    <w:rsid w:val="0064330F"/>
    <w:rsid w:val="006509FB"/>
    <w:rsid w:val="00660FF4"/>
    <w:rsid w:val="0066154C"/>
    <w:rsid w:val="0066526F"/>
    <w:rsid w:val="00666A3C"/>
    <w:rsid w:val="00666D58"/>
    <w:rsid w:val="00667A6E"/>
    <w:rsid w:val="00671EFD"/>
    <w:rsid w:val="006776B1"/>
    <w:rsid w:val="00681AC1"/>
    <w:rsid w:val="00683B1D"/>
    <w:rsid w:val="006845A0"/>
    <w:rsid w:val="006A32A6"/>
    <w:rsid w:val="006A7E6A"/>
    <w:rsid w:val="006B1FEE"/>
    <w:rsid w:val="006B2B8F"/>
    <w:rsid w:val="006B4618"/>
    <w:rsid w:val="006B58AF"/>
    <w:rsid w:val="006B6DEB"/>
    <w:rsid w:val="006C299D"/>
    <w:rsid w:val="006C5CA5"/>
    <w:rsid w:val="006D3409"/>
    <w:rsid w:val="006D7608"/>
    <w:rsid w:val="006E2DF1"/>
    <w:rsid w:val="006E314B"/>
    <w:rsid w:val="006F326D"/>
    <w:rsid w:val="006F420F"/>
    <w:rsid w:val="006F489A"/>
    <w:rsid w:val="006F558A"/>
    <w:rsid w:val="006F616D"/>
    <w:rsid w:val="00704C56"/>
    <w:rsid w:val="0070523B"/>
    <w:rsid w:val="007056AF"/>
    <w:rsid w:val="007064FE"/>
    <w:rsid w:val="00706A37"/>
    <w:rsid w:val="00707504"/>
    <w:rsid w:val="00712139"/>
    <w:rsid w:val="00714639"/>
    <w:rsid w:val="00721EB6"/>
    <w:rsid w:val="00722B48"/>
    <w:rsid w:val="00723365"/>
    <w:rsid w:val="0072358C"/>
    <w:rsid w:val="00724765"/>
    <w:rsid w:val="00727A00"/>
    <w:rsid w:val="00733EB3"/>
    <w:rsid w:val="00735187"/>
    <w:rsid w:val="00735FFA"/>
    <w:rsid w:val="00740096"/>
    <w:rsid w:val="00744EE8"/>
    <w:rsid w:val="00754D0F"/>
    <w:rsid w:val="00756E64"/>
    <w:rsid w:val="00764E6D"/>
    <w:rsid w:val="00782C4E"/>
    <w:rsid w:val="00783CB0"/>
    <w:rsid w:val="0079290B"/>
    <w:rsid w:val="00796D98"/>
    <w:rsid w:val="007B0D81"/>
    <w:rsid w:val="007B0F77"/>
    <w:rsid w:val="007B27F2"/>
    <w:rsid w:val="007B542F"/>
    <w:rsid w:val="007B5F9E"/>
    <w:rsid w:val="007C23D0"/>
    <w:rsid w:val="007D029A"/>
    <w:rsid w:val="007D0897"/>
    <w:rsid w:val="007D13C1"/>
    <w:rsid w:val="007D2227"/>
    <w:rsid w:val="007D492B"/>
    <w:rsid w:val="007D5803"/>
    <w:rsid w:val="007E4F0C"/>
    <w:rsid w:val="007E5F39"/>
    <w:rsid w:val="007E754E"/>
    <w:rsid w:val="007F0339"/>
    <w:rsid w:val="007F2119"/>
    <w:rsid w:val="007F2C87"/>
    <w:rsid w:val="007F2F4F"/>
    <w:rsid w:val="007F75B5"/>
    <w:rsid w:val="008019A4"/>
    <w:rsid w:val="00803B00"/>
    <w:rsid w:val="0080500F"/>
    <w:rsid w:val="008063DF"/>
    <w:rsid w:val="00806840"/>
    <w:rsid w:val="008102A2"/>
    <w:rsid w:val="00811639"/>
    <w:rsid w:val="008149BB"/>
    <w:rsid w:val="00816992"/>
    <w:rsid w:val="00821CB6"/>
    <w:rsid w:val="0083490E"/>
    <w:rsid w:val="00836D8D"/>
    <w:rsid w:val="00840FAE"/>
    <w:rsid w:val="008521FB"/>
    <w:rsid w:val="008550AC"/>
    <w:rsid w:val="00873B15"/>
    <w:rsid w:val="008774CA"/>
    <w:rsid w:val="008802BE"/>
    <w:rsid w:val="00881C13"/>
    <w:rsid w:val="008836AF"/>
    <w:rsid w:val="00885A6D"/>
    <w:rsid w:val="00893CAD"/>
    <w:rsid w:val="00895678"/>
    <w:rsid w:val="00896752"/>
    <w:rsid w:val="00897823"/>
    <w:rsid w:val="008A3709"/>
    <w:rsid w:val="008B17E2"/>
    <w:rsid w:val="008C1936"/>
    <w:rsid w:val="008D6B28"/>
    <w:rsid w:val="008E343C"/>
    <w:rsid w:val="008E459A"/>
    <w:rsid w:val="008E66EE"/>
    <w:rsid w:val="008F338D"/>
    <w:rsid w:val="008F3A25"/>
    <w:rsid w:val="008F552B"/>
    <w:rsid w:val="008F5E4B"/>
    <w:rsid w:val="00902695"/>
    <w:rsid w:val="00902A17"/>
    <w:rsid w:val="009031EA"/>
    <w:rsid w:val="00903AEB"/>
    <w:rsid w:val="00904087"/>
    <w:rsid w:val="0091406D"/>
    <w:rsid w:val="0091533B"/>
    <w:rsid w:val="009174E7"/>
    <w:rsid w:val="00917B79"/>
    <w:rsid w:val="00920915"/>
    <w:rsid w:val="00923A43"/>
    <w:rsid w:val="0093004D"/>
    <w:rsid w:val="00930C79"/>
    <w:rsid w:val="00932BFD"/>
    <w:rsid w:val="00932FBA"/>
    <w:rsid w:val="009373FD"/>
    <w:rsid w:val="00944E00"/>
    <w:rsid w:val="00946F4F"/>
    <w:rsid w:val="00954320"/>
    <w:rsid w:val="009559DA"/>
    <w:rsid w:val="00965BA7"/>
    <w:rsid w:val="00966B4E"/>
    <w:rsid w:val="00967873"/>
    <w:rsid w:val="00975DC7"/>
    <w:rsid w:val="00976214"/>
    <w:rsid w:val="00983120"/>
    <w:rsid w:val="0098332B"/>
    <w:rsid w:val="00983488"/>
    <w:rsid w:val="009924C1"/>
    <w:rsid w:val="00996ECE"/>
    <w:rsid w:val="00997BE6"/>
    <w:rsid w:val="009A4921"/>
    <w:rsid w:val="009B09D1"/>
    <w:rsid w:val="009B1E41"/>
    <w:rsid w:val="009C432C"/>
    <w:rsid w:val="009C5532"/>
    <w:rsid w:val="009C5BD2"/>
    <w:rsid w:val="009C60E2"/>
    <w:rsid w:val="009C7870"/>
    <w:rsid w:val="009D142A"/>
    <w:rsid w:val="009D3EA6"/>
    <w:rsid w:val="009E6F77"/>
    <w:rsid w:val="009F1D8E"/>
    <w:rsid w:val="009F3E6A"/>
    <w:rsid w:val="00A03DE5"/>
    <w:rsid w:val="00A045D0"/>
    <w:rsid w:val="00A04635"/>
    <w:rsid w:val="00A073A0"/>
    <w:rsid w:val="00A10055"/>
    <w:rsid w:val="00A113AC"/>
    <w:rsid w:val="00A12A5C"/>
    <w:rsid w:val="00A1480E"/>
    <w:rsid w:val="00A16049"/>
    <w:rsid w:val="00A2308B"/>
    <w:rsid w:val="00A25032"/>
    <w:rsid w:val="00A26A2F"/>
    <w:rsid w:val="00A30E98"/>
    <w:rsid w:val="00A343EA"/>
    <w:rsid w:val="00A35432"/>
    <w:rsid w:val="00A36315"/>
    <w:rsid w:val="00A37C46"/>
    <w:rsid w:val="00A54D4E"/>
    <w:rsid w:val="00A56003"/>
    <w:rsid w:val="00A61D8C"/>
    <w:rsid w:val="00A654C0"/>
    <w:rsid w:val="00A74B68"/>
    <w:rsid w:val="00A76CE2"/>
    <w:rsid w:val="00A76D80"/>
    <w:rsid w:val="00A77D24"/>
    <w:rsid w:val="00A81098"/>
    <w:rsid w:val="00A822B1"/>
    <w:rsid w:val="00A931CA"/>
    <w:rsid w:val="00AA1F77"/>
    <w:rsid w:val="00AA2F5F"/>
    <w:rsid w:val="00AA48FD"/>
    <w:rsid w:val="00AB0668"/>
    <w:rsid w:val="00AB39F5"/>
    <w:rsid w:val="00AB4EBD"/>
    <w:rsid w:val="00AC1DEB"/>
    <w:rsid w:val="00AC1F36"/>
    <w:rsid w:val="00AC4493"/>
    <w:rsid w:val="00AD751A"/>
    <w:rsid w:val="00AE05DA"/>
    <w:rsid w:val="00AE1CB8"/>
    <w:rsid w:val="00AF53E9"/>
    <w:rsid w:val="00AF721E"/>
    <w:rsid w:val="00B05C56"/>
    <w:rsid w:val="00B11307"/>
    <w:rsid w:val="00B13822"/>
    <w:rsid w:val="00B13B51"/>
    <w:rsid w:val="00B4096B"/>
    <w:rsid w:val="00B46F7F"/>
    <w:rsid w:val="00B532F6"/>
    <w:rsid w:val="00B549A5"/>
    <w:rsid w:val="00B56E03"/>
    <w:rsid w:val="00B64B25"/>
    <w:rsid w:val="00B67089"/>
    <w:rsid w:val="00B73DB2"/>
    <w:rsid w:val="00B77276"/>
    <w:rsid w:val="00B81242"/>
    <w:rsid w:val="00B835C4"/>
    <w:rsid w:val="00B838C4"/>
    <w:rsid w:val="00B86161"/>
    <w:rsid w:val="00B93933"/>
    <w:rsid w:val="00B954D3"/>
    <w:rsid w:val="00BA08C7"/>
    <w:rsid w:val="00BA5678"/>
    <w:rsid w:val="00BA71B5"/>
    <w:rsid w:val="00BB0C31"/>
    <w:rsid w:val="00BB4CDB"/>
    <w:rsid w:val="00BC66B3"/>
    <w:rsid w:val="00BC71C3"/>
    <w:rsid w:val="00BD02BB"/>
    <w:rsid w:val="00BD2E8F"/>
    <w:rsid w:val="00BE1249"/>
    <w:rsid w:val="00BE1785"/>
    <w:rsid w:val="00BE296A"/>
    <w:rsid w:val="00BE4B02"/>
    <w:rsid w:val="00BE6883"/>
    <w:rsid w:val="00BE798E"/>
    <w:rsid w:val="00BF4DA9"/>
    <w:rsid w:val="00C0207D"/>
    <w:rsid w:val="00C03B18"/>
    <w:rsid w:val="00C07AE0"/>
    <w:rsid w:val="00C11D2A"/>
    <w:rsid w:val="00C17CB3"/>
    <w:rsid w:val="00C26878"/>
    <w:rsid w:val="00C45DAE"/>
    <w:rsid w:val="00C52EF7"/>
    <w:rsid w:val="00C56FB3"/>
    <w:rsid w:val="00C60783"/>
    <w:rsid w:val="00C73B32"/>
    <w:rsid w:val="00C76CA8"/>
    <w:rsid w:val="00C817A3"/>
    <w:rsid w:val="00C826EF"/>
    <w:rsid w:val="00CA108D"/>
    <w:rsid w:val="00CA6826"/>
    <w:rsid w:val="00CA7FB1"/>
    <w:rsid w:val="00CB24FA"/>
    <w:rsid w:val="00CB6C21"/>
    <w:rsid w:val="00CB756B"/>
    <w:rsid w:val="00CC14B4"/>
    <w:rsid w:val="00CC1D90"/>
    <w:rsid w:val="00CC6FB9"/>
    <w:rsid w:val="00CD4E6F"/>
    <w:rsid w:val="00CD633A"/>
    <w:rsid w:val="00CE16A9"/>
    <w:rsid w:val="00CE68B0"/>
    <w:rsid w:val="00CE705F"/>
    <w:rsid w:val="00CF232A"/>
    <w:rsid w:val="00CF34D3"/>
    <w:rsid w:val="00CF79CE"/>
    <w:rsid w:val="00D06C9A"/>
    <w:rsid w:val="00D12615"/>
    <w:rsid w:val="00D21AD2"/>
    <w:rsid w:val="00D3384C"/>
    <w:rsid w:val="00D35B70"/>
    <w:rsid w:val="00D37ACA"/>
    <w:rsid w:val="00D430A1"/>
    <w:rsid w:val="00D434A0"/>
    <w:rsid w:val="00D47C51"/>
    <w:rsid w:val="00D60D5E"/>
    <w:rsid w:val="00D6488B"/>
    <w:rsid w:val="00D65793"/>
    <w:rsid w:val="00D71C00"/>
    <w:rsid w:val="00D75497"/>
    <w:rsid w:val="00D76AA3"/>
    <w:rsid w:val="00D80115"/>
    <w:rsid w:val="00D919BB"/>
    <w:rsid w:val="00D96EE7"/>
    <w:rsid w:val="00DA2DDE"/>
    <w:rsid w:val="00DA75BD"/>
    <w:rsid w:val="00DD18E7"/>
    <w:rsid w:val="00DD3C90"/>
    <w:rsid w:val="00DD6128"/>
    <w:rsid w:val="00DD7AF5"/>
    <w:rsid w:val="00DE0A46"/>
    <w:rsid w:val="00DF2A8D"/>
    <w:rsid w:val="00E01900"/>
    <w:rsid w:val="00E02752"/>
    <w:rsid w:val="00E04157"/>
    <w:rsid w:val="00E05AB6"/>
    <w:rsid w:val="00E10158"/>
    <w:rsid w:val="00E126C7"/>
    <w:rsid w:val="00E26075"/>
    <w:rsid w:val="00E3336B"/>
    <w:rsid w:val="00E347BD"/>
    <w:rsid w:val="00E360A4"/>
    <w:rsid w:val="00E456ED"/>
    <w:rsid w:val="00E45E97"/>
    <w:rsid w:val="00E50EF8"/>
    <w:rsid w:val="00E571FE"/>
    <w:rsid w:val="00E618A0"/>
    <w:rsid w:val="00E629A4"/>
    <w:rsid w:val="00E64B4D"/>
    <w:rsid w:val="00E65D32"/>
    <w:rsid w:val="00E66C31"/>
    <w:rsid w:val="00E7065B"/>
    <w:rsid w:val="00E86F58"/>
    <w:rsid w:val="00E9076E"/>
    <w:rsid w:val="00E94DE6"/>
    <w:rsid w:val="00E9745A"/>
    <w:rsid w:val="00EA1104"/>
    <w:rsid w:val="00EA6096"/>
    <w:rsid w:val="00EA6A69"/>
    <w:rsid w:val="00EB3CEF"/>
    <w:rsid w:val="00EB6A62"/>
    <w:rsid w:val="00EC1617"/>
    <w:rsid w:val="00ED180F"/>
    <w:rsid w:val="00ED5BDF"/>
    <w:rsid w:val="00ED637B"/>
    <w:rsid w:val="00EE0EC3"/>
    <w:rsid w:val="00EE229B"/>
    <w:rsid w:val="00EE3A96"/>
    <w:rsid w:val="00EE6192"/>
    <w:rsid w:val="00EF266D"/>
    <w:rsid w:val="00F03E8B"/>
    <w:rsid w:val="00F04629"/>
    <w:rsid w:val="00F21A9B"/>
    <w:rsid w:val="00F22D3E"/>
    <w:rsid w:val="00F2464B"/>
    <w:rsid w:val="00F257EE"/>
    <w:rsid w:val="00F30749"/>
    <w:rsid w:val="00F320EA"/>
    <w:rsid w:val="00F42AAA"/>
    <w:rsid w:val="00F45364"/>
    <w:rsid w:val="00F54669"/>
    <w:rsid w:val="00F549BE"/>
    <w:rsid w:val="00F54DB7"/>
    <w:rsid w:val="00F56706"/>
    <w:rsid w:val="00F63E19"/>
    <w:rsid w:val="00F72436"/>
    <w:rsid w:val="00F81F9E"/>
    <w:rsid w:val="00F941B6"/>
    <w:rsid w:val="00F9594C"/>
    <w:rsid w:val="00FA5E2D"/>
    <w:rsid w:val="00FB56A6"/>
    <w:rsid w:val="00FC1701"/>
    <w:rsid w:val="00FC7875"/>
    <w:rsid w:val="00FD4169"/>
    <w:rsid w:val="00FD43AF"/>
    <w:rsid w:val="00FD66B6"/>
    <w:rsid w:val="00FD7709"/>
    <w:rsid w:val="00FE0774"/>
    <w:rsid w:val="00FE43EE"/>
    <w:rsid w:val="00FE4AA7"/>
    <w:rsid w:val="00FE51A4"/>
    <w:rsid w:val="00FE724F"/>
    <w:rsid w:val="00FF18C2"/>
    <w:rsid w:val="00FF4099"/>
    <w:rsid w:val="00FF4C33"/>
    <w:rsid w:val="00FF5D52"/>
    <w:rsid w:val="00FF7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DA347"/>
  <w15:docId w15:val="{39517216-EDE4-464D-BBD2-184B2D1F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82"/>
    <w:rPr>
      <w:rFonts w:ascii="CG Times" w:hAnsi="CG Time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12pt">
    <w:name w:val="Style Footnote Reference + 12 pt"/>
    <w:basedOn w:val="FootnoteReference"/>
    <w:rsid w:val="000B2B88"/>
    <w:rPr>
      <w:rFonts w:ascii="Times New Roman" w:hAnsi="Times New Roman"/>
      <w:sz w:val="24"/>
      <w:vertAlign w:val="superscript"/>
    </w:rPr>
  </w:style>
  <w:style w:type="character" w:styleId="FootnoteReference">
    <w:name w:val="footnote reference"/>
    <w:basedOn w:val="DefaultParagraphFont"/>
    <w:semiHidden/>
    <w:rsid w:val="00F23EB6"/>
    <w:rPr>
      <w:vertAlign w:val="superscript"/>
    </w:rPr>
  </w:style>
  <w:style w:type="character" w:customStyle="1" w:styleId="StyleFootnoteReference12pt0">
    <w:name w:val="Style Footnote Reference + 12pt"/>
    <w:basedOn w:val="FootnoteReference"/>
    <w:rsid w:val="00F23EB6"/>
    <w:rPr>
      <w:rFonts w:ascii="Times New Roman" w:hAnsi="Times New Roman"/>
      <w:sz w:val="24"/>
      <w:vertAlign w:val="superscript"/>
    </w:rPr>
  </w:style>
  <w:style w:type="paragraph" w:customStyle="1" w:styleId="FootnoteStyle">
    <w:name w:val="Footnote Style"/>
    <w:basedOn w:val="Normal"/>
    <w:rsid w:val="007641DE"/>
    <w:pPr>
      <w:widowControl w:val="0"/>
      <w:tabs>
        <w:tab w:val="left" w:pos="-1440"/>
      </w:tabs>
      <w:jc w:val="both"/>
    </w:pPr>
    <w:rPr>
      <w:szCs w:val="20"/>
      <w:vertAlign w:val="superscript"/>
    </w:rPr>
  </w:style>
  <w:style w:type="paragraph" w:customStyle="1" w:styleId="Style1">
    <w:name w:val="Style1"/>
    <w:basedOn w:val="Normal"/>
    <w:rsid w:val="007641DE"/>
    <w:pPr>
      <w:widowControl w:val="0"/>
      <w:tabs>
        <w:tab w:val="left" w:pos="-1440"/>
      </w:tabs>
      <w:jc w:val="both"/>
    </w:pPr>
    <w:rPr>
      <w:szCs w:val="20"/>
      <w:vertAlign w:val="superscript"/>
    </w:rPr>
  </w:style>
  <w:style w:type="paragraph" w:styleId="Header">
    <w:name w:val="header"/>
    <w:basedOn w:val="Normal"/>
    <w:rsid w:val="00CD5782"/>
    <w:pPr>
      <w:tabs>
        <w:tab w:val="center" w:pos="4320"/>
        <w:tab w:val="right" w:pos="8640"/>
      </w:tabs>
    </w:pPr>
  </w:style>
  <w:style w:type="paragraph" w:styleId="Footer">
    <w:name w:val="footer"/>
    <w:basedOn w:val="Normal"/>
    <w:link w:val="FooterChar"/>
    <w:uiPriority w:val="99"/>
    <w:rsid w:val="00CD5782"/>
    <w:pPr>
      <w:tabs>
        <w:tab w:val="center" w:pos="4320"/>
        <w:tab w:val="right" w:pos="8640"/>
      </w:tabs>
    </w:pPr>
  </w:style>
  <w:style w:type="character" w:styleId="PageNumber">
    <w:name w:val="page number"/>
    <w:basedOn w:val="DefaultParagraphFont"/>
    <w:rsid w:val="007E4CC1"/>
  </w:style>
  <w:style w:type="paragraph" w:styleId="BalloonText">
    <w:name w:val="Balloon Text"/>
    <w:basedOn w:val="Normal"/>
    <w:link w:val="BalloonTextChar"/>
    <w:rsid w:val="00336F32"/>
    <w:rPr>
      <w:rFonts w:ascii="Tahoma" w:hAnsi="Tahoma" w:cs="Tahoma"/>
      <w:sz w:val="16"/>
      <w:szCs w:val="16"/>
    </w:rPr>
  </w:style>
  <w:style w:type="character" w:customStyle="1" w:styleId="BalloonTextChar">
    <w:name w:val="Balloon Text Char"/>
    <w:basedOn w:val="DefaultParagraphFont"/>
    <w:link w:val="BalloonText"/>
    <w:rsid w:val="00336F32"/>
    <w:rPr>
      <w:rFonts w:ascii="Tahoma" w:hAnsi="Tahoma" w:cs="Tahoma"/>
      <w:snapToGrid w:val="0"/>
      <w:sz w:val="16"/>
      <w:szCs w:val="16"/>
    </w:rPr>
  </w:style>
  <w:style w:type="character" w:styleId="Hyperlink">
    <w:name w:val="Hyperlink"/>
    <w:basedOn w:val="DefaultParagraphFont"/>
    <w:rsid w:val="00D91786"/>
    <w:rPr>
      <w:color w:val="0000FF"/>
      <w:u w:val="single"/>
    </w:rPr>
  </w:style>
  <w:style w:type="paragraph" w:customStyle="1" w:styleId="Default">
    <w:name w:val="Default"/>
    <w:rsid w:val="0015067D"/>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FE5853"/>
    <w:pPr>
      <w:ind w:left="720"/>
      <w:contextualSpacing/>
    </w:pPr>
  </w:style>
  <w:style w:type="character" w:styleId="CommentReference">
    <w:name w:val="annotation reference"/>
    <w:basedOn w:val="DefaultParagraphFont"/>
    <w:rsid w:val="00D553C6"/>
    <w:rPr>
      <w:sz w:val="16"/>
      <w:szCs w:val="16"/>
    </w:rPr>
  </w:style>
  <w:style w:type="paragraph" w:styleId="CommentText">
    <w:name w:val="annotation text"/>
    <w:basedOn w:val="Normal"/>
    <w:link w:val="CommentTextChar"/>
    <w:rsid w:val="00D553C6"/>
    <w:rPr>
      <w:sz w:val="20"/>
      <w:szCs w:val="20"/>
    </w:rPr>
  </w:style>
  <w:style w:type="character" w:customStyle="1" w:styleId="CommentTextChar">
    <w:name w:val="Comment Text Char"/>
    <w:basedOn w:val="DefaultParagraphFont"/>
    <w:link w:val="CommentText"/>
    <w:rsid w:val="00D553C6"/>
    <w:rPr>
      <w:rFonts w:ascii="CG Times" w:hAnsi="CG Times"/>
      <w:snapToGrid w:val="0"/>
    </w:rPr>
  </w:style>
  <w:style w:type="paragraph" w:styleId="CommentSubject">
    <w:name w:val="annotation subject"/>
    <w:basedOn w:val="CommentText"/>
    <w:next w:val="CommentText"/>
    <w:link w:val="CommentSubjectChar"/>
    <w:rsid w:val="00D553C6"/>
    <w:rPr>
      <w:b/>
      <w:bCs/>
    </w:rPr>
  </w:style>
  <w:style w:type="character" w:customStyle="1" w:styleId="CommentSubjectChar">
    <w:name w:val="Comment Subject Char"/>
    <w:basedOn w:val="CommentTextChar"/>
    <w:link w:val="CommentSubject"/>
    <w:rsid w:val="00D553C6"/>
    <w:rPr>
      <w:rFonts w:ascii="CG Times" w:hAnsi="CG Times"/>
      <w:b/>
      <w:bCs/>
      <w:snapToGrid w:val="0"/>
    </w:rPr>
  </w:style>
  <w:style w:type="paragraph" w:customStyle="1" w:styleId="ColorfulShading-Accent11">
    <w:name w:val="Colorful Shading - Accent 11"/>
    <w:hidden/>
    <w:uiPriority w:val="99"/>
    <w:semiHidden/>
    <w:rsid w:val="00D553C6"/>
    <w:rPr>
      <w:rFonts w:ascii="CG Times" w:hAnsi="CG Times"/>
      <w:snapToGrid w:val="0"/>
      <w:sz w:val="24"/>
      <w:szCs w:val="24"/>
    </w:rPr>
  </w:style>
  <w:style w:type="character" w:customStyle="1" w:styleId="FooterChar">
    <w:name w:val="Footer Char"/>
    <w:basedOn w:val="DefaultParagraphFont"/>
    <w:link w:val="Footer"/>
    <w:uiPriority w:val="99"/>
    <w:rsid w:val="00576861"/>
    <w:rPr>
      <w:rFonts w:ascii="CG Times" w:hAnsi="CG Times"/>
      <w:snapToGrid w:val="0"/>
      <w:sz w:val="24"/>
      <w:szCs w:val="24"/>
    </w:rPr>
  </w:style>
  <w:style w:type="paragraph" w:styleId="FootnoteText">
    <w:name w:val="footnote text"/>
    <w:basedOn w:val="Normal"/>
    <w:link w:val="FootnoteTextChar"/>
    <w:rsid w:val="003C2B10"/>
    <w:pPr>
      <w:widowControl w:val="0"/>
    </w:pPr>
    <w:rPr>
      <w:rFonts w:ascii="Times New Roman" w:hAnsi="Times New Roman"/>
      <w:sz w:val="20"/>
      <w:szCs w:val="20"/>
    </w:rPr>
  </w:style>
  <w:style w:type="character" w:customStyle="1" w:styleId="FootnoteTextChar">
    <w:name w:val="Footnote Text Char"/>
    <w:basedOn w:val="DefaultParagraphFont"/>
    <w:link w:val="FootnoteText"/>
    <w:rsid w:val="003C2B10"/>
    <w:rPr>
      <w:snapToGrid w:val="0"/>
    </w:rPr>
  </w:style>
  <w:style w:type="paragraph" w:styleId="ListParagraph">
    <w:name w:val="List Paragraph"/>
    <w:basedOn w:val="Normal"/>
    <w:uiPriority w:val="72"/>
    <w:qFormat/>
    <w:rsid w:val="00840FAE"/>
    <w:pPr>
      <w:ind w:left="720"/>
      <w:contextualSpacing/>
    </w:pPr>
  </w:style>
  <w:style w:type="paragraph" w:styleId="NormalWeb">
    <w:name w:val="Normal (Web)"/>
    <w:basedOn w:val="Normal"/>
    <w:uiPriority w:val="99"/>
    <w:unhideWhenUsed/>
    <w:rsid w:val="00212C99"/>
    <w:rPr>
      <w:rFonts w:ascii="Times New Roman" w:eastAsiaTheme="minorHAnsi"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96CD-9CCB-4F60-ABD7-B277DD4B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7510</vt:lpstr>
    </vt:vector>
  </TitlesOfParts>
  <Company>NCSBA</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7510</dc:title>
  <dc:creator>McKenna</dc:creator>
  <cp:lastModifiedBy>Dalton, Kelli</cp:lastModifiedBy>
  <cp:revision>2</cp:revision>
  <cp:lastPrinted>2020-07-27T15:35:00Z</cp:lastPrinted>
  <dcterms:created xsi:type="dcterms:W3CDTF">2020-07-28T16:52:00Z</dcterms:created>
  <dcterms:modified xsi:type="dcterms:W3CDTF">2020-07-28T16:52:00Z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192363479</vt:i4>
  </property>
</Properties>
</file>